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01" w:firstLine="602" w:firstLineChars="200"/>
        <w:jc w:val="center"/>
        <w:rPr>
          <w:rFonts w:ascii="Times New Roman" w:hAnsi="Times New Roman" w:eastAsia="仿宋_GB2312"/>
          <w:color w:val="000000"/>
          <w:kern w:val="0"/>
          <w:sz w:val="24"/>
          <w:szCs w:val="24"/>
        </w:rPr>
      </w:pPr>
      <w:r>
        <w:rPr>
          <w:rFonts w:hint="eastAsia" w:ascii="宋体" w:hAnsi="宋体"/>
          <w:b/>
          <w:color w:val="000000"/>
          <w:kern w:val="0"/>
          <w:sz w:val="30"/>
          <w:szCs w:val="30"/>
        </w:rPr>
        <w:t>人文与社会科学学院</w:t>
      </w:r>
    </w:p>
    <w:p>
      <w:pPr>
        <w:spacing w:beforeLines="50" w:line="360" w:lineRule="auto"/>
        <w:jc w:val="center"/>
        <w:rPr>
          <w:rFonts w:ascii="宋体"/>
          <w:b/>
          <w:color w:val="000000"/>
          <w:kern w:val="0"/>
          <w:sz w:val="30"/>
          <w:szCs w:val="30"/>
        </w:rPr>
      </w:pPr>
      <w:r>
        <w:rPr>
          <w:rFonts w:ascii="宋体" w:hAnsi="宋体"/>
          <w:b/>
          <w:color w:val="000000"/>
          <w:kern w:val="0"/>
          <w:sz w:val="30"/>
          <w:szCs w:val="30"/>
        </w:rPr>
        <w:t>2019</w:t>
      </w:r>
      <w:r>
        <w:rPr>
          <w:rFonts w:hint="eastAsia" w:ascii="宋体" w:hAnsi="宋体"/>
          <w:b/>
          <w:color w:val="000000"/>
          <w:kern w:val="0"/>
          <w:sz w:val="30"/>
          <w:szCs w:val="30"/>
        </w:rPr>
        <w:t>年硕士研究生招生接收优秀生源调剂复试及录取细则</w:t>
      </w:r>
    </w:p>
    <w:p>
      <w:pPr>
        <w:spacing w:line="500" w:lineRule="exact"/>
        <w:ind w:firstLine="465"/>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我院调剂复试工作符合《教育部关于印发</w:t>
      </w:r>
      <w:r>
        <w:rPr>
          <w:rFonts w:ascii="Times New Roman" w:hAnsi="Times New Roman" w:eastAsia="仿宋_GB2312"/>
          <w:color w:val="000000"/>
          <w:kern w:val="0"/>
          <w:sz w:val="24"/>
          <w:szCs w:val="24"/>
        </w:rPr>
        <w:t>&lt;2019</w:t>
      </w:r>
      <w:r>
        <w:rPr>
          <w:rFonts w:hint="eastAsia" w:ascii="Times New Roman" w:hAnsi="Times New Roman" w:eastAsia="仿宋_GB2312"/>
          <w:color w:val="000000"/>
          <w:kern w:val="0"/>
          <w:sz w:val="24"/>
          <w:szCs w:val="24"/>
        </w:rPr>
        <w:t>年全国硕士研究生招生工作管理规定</w:t>
      </w:r>
      <w:r>
        <w:rPr>
          <w:rFonts w:ascii="Times New Roman" w:hAnsi="Times New Roman" w:eastAsia="仿宋_GB2312"/>
          <w:color w:val="000000"/>
          <w:kern w:val="0"/>
          <w:sz w:val="24"/>
          <w:szCs w:val="24"/>
        </w:rPr>
        <w:t>&gt;</w:t>
      </w:r>
      <w:r>
        <w:rPr>
          <w:rFonts w:hint="eastAsia" w:ascii="Times New Roman" w:hAnsi="Times New Roman" w:eastAsia="仿宋_GB2312"/>
          <w:color w:val="000000"/>
          <w:kern w:val="0"/>
          <w:sz w:val="24"/>
          <w:szCs w:val="24"/>
        </w:rPr>
        <w:t>的通知》文件中相关要求，按照</w:t>
      </w:r>
      <w:r>
        <w:rPr>
          <w:rFonts w:hint="eastAsia" w:ascii="Times New Roman" w:hAnsi="Times New Roman" w:eastAsia="仿宋_GB2312"/>
          <w:kern w:val="0"/>
          <w:sz w:val="24"/>
          <w:szCs w:val="24"/>
        </w:rPr>
        <w:t>《南京航空航天大学</w:t>
      </w:r>
      <w:r>
        <w:rPr>
          <w:rFonts w:ascii="Times New Roman" w:hAnsi="Times New Roman" w:eastAsia="仿宋_GB2312"/>
          <w:kern w:val="0"/>
          <w:sz w:val="24"/>
          <w:szCs w:val="24"/>
        </w:rPr>
        <w:t>2019</w:t>
      </w:r>
      <w:r>
        <w:rPr>
          <w:rFonts w:hint="eastAsia" w:ascii="Times New Roman" w:hAnsi="Times New Roman" w:eastAsia="仿宋_GB2312"/>
          <w:kern w:val="0"/>
          <w:sz w:val="24"/>
          <w:szCs w:val="24"/>
        </w:rPr>
        <w:t>年全日制硕士研究生招生接收优秀生源调剂工作方案》</w:t>
      </w:r>
      <w:r>
        <w:rPr>
          <w:rFonts w:hint="eastAsia" w:ascii="Times New Roman" w:hAnsi="Times New Roman" w:eastAsia="仿宋_GB2312"/>
          <w:color w:val="000000"/>
          <w:kern w:val="0"/>
          <w:sz w:val="24"/>
          <w:szCs w:val="24"/>
        </w:rPr>
        <w:t>组织复试录取工作，并结合学院具体情况，制定本工作细则。</w:t>
      </w:r>
    </w:p>
    <w:p>
      <w:pPr>
        <w:spacing w:line="500" w:lineRule="exact"/>
        <w:ind w:firstLine="465"/>
        <w:jc w:val="left"/>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一、学院招生工作领导小组</w:t>
      </w:r>
    </w:p>
    <w:p>
      <w:pPr>
        <w:spacing w:line="500" w:lineRule="exact"/>
        <w:ind w:firstLine="465"/>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组长：王建文</w:t>
      </w:r>
      <w:r>
        <w:rPr>
          <w:rFonts w:ascii="Times New Roman" w:hAnsi="Times New Roman" w:eastAsia="仿宋_GB2312"/>
          <w:color w:val="000000"/>
          <w:kern w:val="0"/>
          <w:sz w:val="24"/>
          <w:szCs w:val="24"/>
        </w:rPr>
        <w:t xml:space="preserve">  </w:t>
      </w:r>
    </w:p>
    <w:p>
      <w:pPr>
        <w:spacing w:line="500" w:lineRule="exact"/>
        <w:ind w:left="1140" w:leftChars="200" w:hanging="720" w:hangingChars="3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成员：李宗辉</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高志宏</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施向峰</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王炳</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张勤</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鲁兴虎</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刘耀彬</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叶志锋</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杨兰芳</w:t>
      </w:r>
    </w:p>
    <w:p>
      <w:pPr>
        <w:spacing w:line="500" w:lineRule="exact"/>
        <w:ind w:left="315" w:leftChars="150" w:firstLine="120" w:firstLineChars="5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秘书：曹春华</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李雪飞</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邹恒衡</w:t>
      </w:r>
    </w:p>
    <w:p>
      <w:pPr>
        <w:spacing w:line="500" w:lineRule="exact"/>
        <w:ind w:firstLine="465"/>
        <w:jc w:val="left"/>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二、学院复试及录取工作监督小组</w:t>
      </w:r>
    </w:p>
    <w:p>
      <w:pPr>
        <w:spacing w:line="500" w:lineRule="exact"/>
        <w:ind w:firstLine="465"/>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组长：刘虎</w:t>
      </w:r>
      <w:r>
        <w:rPr>
          <w:rFonts w:ascii="Times New Roman" w:hAnsi="Times New Roman" w:eastAsia="仿宋_GB2312"/>
          <w:color w:val="000000"/>
          <w:kern w:val="0"/>
          <w:sz w:val="24"/>
          <w:szCs w:val="24"/>
        </w:rPr>
        <w:t xml:space="preserve">    </w:t>
      </w:r>
    </w:p>
    <w:p>
      <w:pPr>
        <w:spacing w:line="500" w:lineRule="exact"/>
        <w:ind w:firstLine="465"/>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成员：尹春苹</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王晓庆</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徐文俊</w:t>
      </w:r>
      <w:r>
        <w:rPr>
          <w:rFonts w:ascii="Times New Roman" w:hAnsi="Times New Roman" w:eastAsia="仿宋_GB2312"/>
          <w:color w:val="000000"/>
          <w:kern w:val="0"/>
          <w:sz w:val="24"/>
          <w:szCs w:val="24"/>
        </w:rPr>
        <w:t xml:space="preserve">  </w:t>
      </w:r>
    </w:p>
    <w:p>
      <w:pPr>
        <w:widowControl/>
        <w:adjustRightInd w:val="0"/>
        <w:snapToGrid w:val="0"/>
        <w:spacing w:line="300" w:lineRule="auto"/>
        <w:ind w:firstLine="465"/>
        <w:jc w:val="left"/>
        <w:outlineLvl w:val="0"/>
        <w:rPr>
          <w:rFonts w:ascii="Times New Roman" w:hAnsi="Times New Roman" w:eastAsia="仿宋_GB2312"/>
          <w:color w:val="000000"/>
          <w:kern w:val="0"/>
          <w:sz w:val="24"/>
          <w:szCs w:val="24"/>
        </w:rPr>
      </w:pPr>
      <w:r>
        <w:rPr>
          <w:rFonts w:hint="eastAsia" w:ascii="仿宋_GB2312" w:hAnsi="Times New Roman" w:eastAsia="仿宋_GB2312"/>
          <w:b/>
          <w:color w:val="000000"/>
          <w:kern w:val="0"/>
          <w:sz w:val="24"/>
          <w:szCs w:val="24"/>
        </w:rPr>
        <w:t>三、</w:t>
      </w:r>
      <w:r>
        <w:rPr>
          <w:rFonts w:hint="eastAsia" w:ascii="Times New Roman" w:hAnsi="Times New Roman" w:eastAsia="仿宋_GB2312"/>
          <w:color w:val="000000"/>
          <w:kern w:val="0"/>
          <w:sz w:val="24"/>
          <w:szCs w:val="24"/>
        </w:rPr>
        <w:t>全日制硕士研究生调剂</w:t>
      </w:r>
    </w:p>
    <w:p>
      <w:pPr>
        <w:widowControl/>
        <w:adjustRightInd w:val="0"/>
        <w:snapToGrid w:val="0"/>
        <w:spacing w:line="300" w:lineRule="auto"/>
        <w:ind w:firstLine="600" w:firstLineChars="2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、各学科调剂复试分数线</w:t>
      </w:r>
    </w:p>
    <w:tbl>
      <w:tblPr>
        <w:tblStyle w:val="7"/>
        <w:tblW w:w="7778" w:type="dxa"/>
        <w:tblInd w:w="7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7"/>
        <w:gridCol w:w="1247"/>
        <w:gridCol w:w="1729"/>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967" w:type="dxa"/>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一级学科名称</w:t>
            </w:r>
          </w:p>
        </w:tc>
        <w:tc>
          <w:tcPr>
            <w:tcW w:w="1247" w:type="dxa"/>
            <w:vAlign w:val="center"/>
          </w:tcPr>
          <w:p>
            <w:pPr>
              <w:widowControl/>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专业代码</w:t>
            </w:r>
          </w:p>
        </w:tc>
        <w:tc>
          <w:tcPr>
            <w:tcW w:w="1729" w:type="dxa"/>
            <w:vAlign w:val="center"/>
          </w:tcPr>
          <w:p>
            <w:pPr>
              <w:widowControl/>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专业名称</w:t>
            </w:r>
          </w:p>
        </w:tc>
        <w:tc>
          <w:tcPr>
            <w:tcW w:w="1134" w:type="dxa"/>
            <w:tcBorders>
              <w:right w:val="single" w:color="auto" w:sz="4" w:space="0"/>
            </w:tcBorders>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单科线</w:t>
            </w:r>
          </w:p>
        </w:tc>
        <w:tc>
          <w:tcPr>
            <w:tcW w:w="1701" w:type="dxa"/>
            <w:tcBorders>
              <w:left w:val="single" w:color="auto" w:sz="4" w:space="0"/>
            </w:tcBorders>
          </w:tcPr>
          <w:p>
            <w:pPr>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967" w:type="dxa"/>
            <w:vMerge w:val="restart"/>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Times New Roman" w:eastAsia="仿宋_GB2312"/>
                <w:kern w:val="0"/>
                <w:sz w:val="24"/>
                <w:szCs w:val="24"/>
              </w:rPr>
              <w:t>030100</w:t>
            </w:r>
            <w:r>
              <w:rPr>
                <w:rFonts w:hint="eastAsia" w:ascii="仿宋_GB2312" w:hAnsi="Times New Roman" w:eastAsia="仿宋_GB2312"/>
                <w:kern w:val="0"/>
                <w:sz w:val="24"/>
                <w:szCs w:val="24"/>
              </w:rPr>
              <w:t>法学</w:t>
            </w:r>
          </w:p>
        </w:tc>
        <w:tc>
          <w:tcPr>
            <w:tcW w:w="1247"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Times New Roman" w:eastAsia="仿宋_GB2312"/>
                <w:kern w:val="0"/>
                <w:sz w:val="24"/>
                <w:szCs w:val="24"/>
              </w:rPr>
              <w:t>0301Z1</w:t>
            </w:r>
          </w:p>
        </w:tc>
        <w:tc>
          <w:tcPr>
            <w:tcW w:w="1729"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航空航天法学</w:t>
            </w:r>
          </w:p>
        </w:tc>
        <w:tc>
          <w:tcPr>
            <w:tcW w:w="1134" w:type="dxa"/>
            <w:vMerge w:val="restart"/>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外语</w:t>
            </w:r>
            <w:r>
              <w:rPr>
                <w:rFonts w:ascii="仿宋_GB2312" w:hAnsi="Times New Roman" w:eastAsia="仿宋_GB2312"/>
                <w:kern w:val="0"/>
                <w:sz w:val="24"/>
                <w:szCs w:val="24"/>
              </w:rPr>
              <w:t>60</w:t>
            </w:r>
            <w:r>
              <w:rPr>
                <w:rFonts w:hint="eastAsia" w:ascii="仿宋_GB2312" w:hAnsi="Times New Roman" w:eastAsia="仿宋_GB2312"/>
                <w:kern w:val="0"/>
                <w:sz w:val="24"/>
                <w:szCs w:val="24"/>
              </w:rPr>
              <w:t>，政治</w:t>
            </w:r>
            <w:r>
              <w:rPr>
                <w:rFonts w:ascii="仿宋_GB2312" w:hAnsi="Times New Roman" w:eastAsia="仿宋_GB2312"/>
                <w:kern w:val="0"/>
                <w:sz w:val="24"/>
                <w:szCs w:val="24"/>
              </w:rPr>
              <w:t>60</w:t>
            </w:r>
          </w:p>
        </w:tc>
        <w:tc>
          <w:tcPr>
            <w:tcW w:w="1701" w:type="dxa"/>
            <w:vMerge w:val="restart"/>
            <w:tcBorders>
              <w:left w:val="single" w:color="auto" w:sz="4" w:space="0"/>
            </w:tcBorders>
            <w:vAlign w:val="center"/>
          </w:tcPr>
          <w:p>
            <w:pPr>
              <w:adjustRightInd w:val="0"/>
              <w:snapToGrid w:val="0"/>
              <w:spacing w:line="300" w:lineRule="auto"/>
              <w:jc w:val="center"/>
              <w:rPr>
                <w:rFonts w:ascii="仿宋_GB2312" w:hAnsi="Times New Roman" w:eastAsia="仿宋_GB2312"/>
                <w:kern w:val="0"/>
                <w:sz w:val="24"/>
                <w:szCs w:val="24"/>
              </w:rPr>
            </w:pPr>
            <w:r>
              <w:rPr>
                <w:rFonts w:ascii="仿宋_GB2312" w:hAnsi="Times New Roman" w:eastAsia="仿宋_GB2312"/>
                <w:kern w:val="0"/>
                <w:sz w:val="24"/>
                <w:szCs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宋体" w:eastAsia="仿宋_GB2312" w:cs="宋体"/>
                <w:kern w:val="0"/>
                <w:sz w:val="24"/>
                <w:szCs w:val="24"/>
              </w:rPr>
              <w:t>030103</w:t>
            </w:r>
          </w:p>
        </w:tc>
        <w:tc>
          <w:tcPr>
            <w:tcW w:w="1729" w:type="dxa"/>
            <w:vAlign w:val="center"/>
          </w:tcPr>
          <w:p>
            <w:pPr>
              <w:widowControl/>
              <w:spacing w:line="300" w:lineRule="auto"/>
              <w:jc w:val="center"/>
              <w:rPr>
                <w:rFonts w:ascii="仿宋_GB2312" w:hAnsi="Times New Roman" w:eastAsia="仿宋_GB2312"/>
                <w:kern w:val="0"/>
                <w:sz w:val="24"/>
                <w:szCs w:val="24"/>
              </w:rPr>
            </w:pPr>
            <w:r>
              <w:rPr>
                <w:rFonts w:hint="eastAsia" w:ascii="仿宋_GB2312" w:hAnsi="宋体" w:eastAsia="仿宋_GB2312" w:cs="宋体"/>
                <w:kern w:val="0"/>
                <w:sz w:val="24"/>
                <w:szCs w:val="24"/>
              </w:rPr>
              <w:t>宪法学与行政法学</w:t>
            </w:r>
          </w:p>
        </w:tc>
        <w:tc>
          <w:tcPr>
            <w:tcW w:w="1134" w:type="dxa"/>
            <w:vMerge w:val="continue"/>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701" w:type="dxa"/>
            <w:vMerge w:val="continue"/>
            <w:tcBorders>
              <w:lef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宋体" w:eastAsia="仿宋_GB2312" w:cs="宋体"/>
                <w:kern w:val="0"/>
                <w:sz w:val="24"/>
                <w:szCs w:val="24"/>
              </w:rPr>
              <w:t>030105</w:t>
            </w:r>
          </w:p>
        </w:tc>
        <w:tc>
          <w:tcPr>
            <w:tcW w:w="1729" w:type="dxa"/>
            <w:vAlign w:val="center"/>
          </w:tcPr>
          <w:p>
            <w:pPr>
              <w:widowControl/>
              <w:spacing w:line="300" w:lineRule="auto"/>
              <w:jc w:val="center"/>
              <w:rPr>
                <w:rFonts w:ascii="仿宋_GB2312" w:hAnsi="Times New Roman" w:eastAsia="仿宋_GB2312"/>
                <w:kern w:val="0"/>
                <w:sz w:val="24"/>
                <w:szCs w:val="24"/>
              </w:rPr>
            </w:pPr>
            <w:r>
              <w:rPr>
                <w:rFonts w:hint="eastAsia" w:ascii="仿宋_GB2312" w:hAnsi="宋体" w:eastAsia="仿宋_GB2312" w:cs="宋体"/>
                <w:kern w:val="0"/>
                <w:sz w:val="24"/>
                <w:szCs w:val="24"/>
              </w:rPr>
              <w:t>民商法学</w:t>
            </w:r>
          </w:p>
        </w:tc>
        <w:tc>
          <w:tcPr>
            <w:tcW w:w="1134" w:type="dxa"/>
            <w:vMerge w:val="continue"/>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701" w:type="dxa"/>
            <w:vMerge w:val="continue"/>
            <w:tcBorders>
              <w:lef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宋体" w:eastAsia="仿宋_GB2312" w:cs="宋体"/>
                <w:kern w:val="0"/>
                <w:sz w:val="24"/>
                <w:szCs w:val="24"/>
              </w:rPr>
              <w:t>030107</w:t>
            </w:r>
          </w:p>
        </w:tc>
        <w:tc>
          <w:tcPr>
            <w:tcW w:w="1729" w:type="dxa"/>
            <w:vAlign w:val="center"/>
          </w:tcPr>
          <w:p>
            <w:pPr>
              <w:widowControl/>
              <w:spacing w:line="300" w:lineRule="auto"/>
              <w:jc w:val="center"/>
              <w:rPr>
                <w:rFonts w:ascii="仿宋_GB2312" w:hAnsi="Times New Roman" w:eastAsia="仿宋_GB2312"/>
                <w:kern w:val="0"/>
                <w:sz w:val="24"/>
                <w:szCs w:val="24"/>
              </w:rPr>
            </w:pPr>
            <w:r>
              <w:rPr>
                <w:rFonts w:hint="eastAsia" w:ascii="仿宋_GB2312" w:hAnsi="宋体" w:eastAsia="仿宋_GB2312" w:cs="宋体"/>
                <w:kern w:val="0"/>
                <w:sz w:val="24"/>
                <w:szCs w:val="24"/>
              </w:rPr>
              <w:t>经济法学</w:t>
            </w:r>
          </w:p>
        </w:tc>
        <w:tc>
          <w:tcPr>
            <w:tcW w:w="1134" w:type="dxa"/>
            <w:vMerge w:val="continue"/>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701" w:type="dxa"/>
            <w:vMerge w:val="continue"/>
            <w:tcBorders>
              <w:lef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 xml:space="preserve">0301Z2 </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网络法学</w:t>
            </w:r>
          </w:p>
        </w:tc>
        <w:tc>
          <w:tcPr>
            <w:tcW w:w="1134" w:type="dxa"/>
            <w:vMerge w:val="continue"/>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c>
          <w:tcPr>
            <w:tcW w:w="1701" w:type="dxa"/>
            <w:vMerge w:val="continue"/>
            <w:tcBorders>
              <w:lef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6" w:hRule="atLeast"/>
        </w:trPr>
        <w:tc>
          <w:tcPr>
            <w:tcW w:w="196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120400</w:t>
            </w:r>
            <w:r>
              <w:rPr>
                <w:rFonts w:hint="eastAsia" w:ascii="仿宋_GB2312" w:hAnsi="宋体" w:eastAsia="仿宋_GB2312" w:cs="宋体"/>
                <w:kern w:val="0"/>
                <w:sz w:val="24"/>
                <w:szCs w:val="24"/>
              </w:rPr>
              <w:t>公共管理</w:t>
            </w:r>
          </w:p>
        </w:tc>
        <w:tc>
          <w:tcPr>
            <w:tcW w:w="1247"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ascii="仿宋_GB2312" w:hAnsi="Times New Roman" w:eastAsia="仿宋_GB2312"/>
                <w:kern w:val="0"/>
                <w:sz w:val="24"/>
                <w:szCs w:val="24"/>
              </w:rPr>
              <w:t xml:space="preserve">120400 </w:t>
            </w:r>
          </w:p>
        </w:tc>
        <w:tc>
          <w:tcPr>
            <w:tcW w:w="1729" w:type="dxa"/>
            <w:vAlign w:val="center"/>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公共管理</w:t>
            </w:r>
          </w:p>
        </w:tc>
        <w:tc>
          <w:tcPr>
            <w:tcW w:w="1134" w:type="dxa"/>
            <w:tcBorders>
              <w:right w:val="single" w:color="auto" w:sz="4" w:space="0"/>
            </w:tcBorders>
            <w:vAlign w:val="center"/>
          </w:tcPr>
          <w:p>
            <w:pPr>
              <w:widowControl/>
              <w:adjustRightInd w:val="0"/>
              <w:snapToGrid w:val="0"/>
              <w:spacing w:line="300" w:lineRule="auto"/>
              <w:jc w:val="center"/>
              <w:rPr>
                <w:rFonts w:ascii="仿宋_GB2312" w:hAnsi="Times New Roman" w:eastAsia="仿宋_GB2312"/>
                <w:kern w:val="0"/>
                <w:sz w:val="24"/>
                <w:szCs w:val="24"/>
              </w:rPr>
            </w:pPr>
            <w:r>
              <w:rPr>
                <w:rFonts w:hint="eastAsia" w:ascii="仿宋_GB2312" w:hAnsi="Times New Roman" w:eastAsia="仿宋_GB2312"/>
                <w:kern w:val="0"/>
                <w:sz w:val="24"/>
                <w:szCs w:val="24"/>
              </w:rPr>
              <w:t>外语</w:t>
            </w:r>
            <w:r>
              <w:rPr>
                <w:rFonts w:ascii="仿宋_GB2312" w:hAnsi="Times New Roman" w:eastAsia="仿宋_GB2312"/>
                <w:kern w:val="0"/>
                <w:sz w:val="24"/>
                <w:szCs w:val="24"/>
              </w:rPr>
              <w:t>60</w:t>
            </w:r>
            <w:r>
              <w:rPr>
                <w:rFonts w:hint="eastAsia" w:ascii="仿宋_GB2312" w:hAnsi="Times New Roman" w:eastAsia="仿宋_GB2312"/>
                <w:kern w:val="0"/>
                <w:sz w:val="24"/>
                <w:szCs w:val="24"/>
              </w:rPr>
              <w:t>，政治</w:t>
            </w:r>
            <w:r>
              <w:rPr>
                <w:rFonts w:ascii="仿宋_GB2312" w:hAnsi="Times New Roman" w:eastAsia="仿宋_GB2312"/>
                <w:kern w:val="0"/>
                <w:sz w:val="24"/>
                <w:szCs w:val="24"/>
              </w:rPr>
              <w:t>60</w:t>
            </w:r>
          </w:p>
        </w:tc>
        <w:tc>
          <w:tcPr>
            <w:tcW w:w="1701" w:type="dxa"/>
            <w:tcBorders>
              <w:left w:val="single" w:color="auto" w:sz="4" w:space="0"/>
            </w:tcBorders>
            <w:vAlign w:val="center"/>
          </w:tcPr>
          <w:p>
            <w:pPr>
              <w:adjustRightInd w:val="0"/>
              <w:snapToGrid w:val="0"/>
              <w:spacing w:line="300" w:lineRule="auto"/>
              <w:jc w:val="center"/>
              <w:rPr>
                <w:rFonts w:ascii="仿宋_GB2312" w:hAnsi="Times New Roman" w:eastAsia="仿宋_GB2312"/>
                <w:kern w:val="0"/>
                <w:sz w:val="24"/>
                <w:szCs w:val="24"/>
              </w:rPr>
            </w:pPr>
            <w:r>
              <w:rPr>
                <w:rFonts w:ascii="仿宋_GB2312" w:hAnsi="Times New Roman" w:eastAsia="仿宋_GB2312"/>
                <w:kern w:val="0"/>
                <w:sz w:val="24"/>
                <w:szCs w:val="24"/>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967" w:type="dxa"/>
            <w:vMerge w:val="restart"/>
            <w:vAlign w:val="center"/>
          </w:tcPr>
          <w:p>
            <w:pPr>
              <w:jc w:val="center"/>
              <w:rPr>
                <w:rFonts w:ascii="宋体" w:cs="宋体"/>
                <w:kern w:val="0"/>
                <w:sz w:val="24"/>
                <w:szCs w:val="24"/>
              </w:rPr>
            </w:pPr>
            <w:r>
              <w:rPr>
                <w:rFonts w:ascii="仿宋_GB2312" w:hAnsi="Times New Roman" w:eastAsia="仿宋_GB2312"/>
                <w:kern w:val="0"/>
                <w:sz w:val="24"/>
                <w:szCs w:val="24"/>
              </w:rPr>
              <w:t>040100</w:t>
            </w:r>
            <w:r>
              <w:rPr>
                <w:rFonts w:hint="eastAsia" w:ascii="仿宋_GB2312" w:hAnsi="Times New Roman" w:eastAsia="仿宋_GB2312"/>
                <w:kern w:val="0"/>
                <w:sz w:val="24"/>
                <w:szCs w:val="24"/>
              </w:rPr>
              <w:t>教育学</w:t>
            </w: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040102</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课程与教学论</w:t>
            </w:r>
          </w:p>
        </w:tc>
        <w:tc>
          <w:tcPr>
            <w:tcW w:w="1134" w:type="dxa"/>
            <w:tcBorders>
              <w:right w:val="single" w:color="auto" w:sz="4" w:space="0"/>
            </w:tcBorders>
            <w:vAlign w:val="center"/>
          </w:tcPr>
          <w:p>
            <w:pPr>
              <w:widowControl/>
              <w:spacing w:line="300" w:lineRule="auto"/>
              <w:jc w:val="center"/>
              <w:rPr>
                <w:rFonts w:ascii="仿宋_GB2312" w:hAnsi="宋体" w:eastAsia="仿宋_GB2312" w:cs="宋体"/>
                <w:kern w:val="0"/>
                <w:sz w:val="24"/>
                <w:szCs w:val="24"/>
              </w:rPr>
            </w:pPr>
          </w:p>
        </w:tc>
        <w:tc>
          <w:tcPr>
            <w:tcW w:w="1701" w:type="dxa"/>
            <w:tcBorders>
              <w:left w:val="single" w:color="auto" w:sz="4" w:space="0"/>
            </w:tcBorders>
            <w:vAlign w:val="center"/>
          </w:tcPr>
          <w:p>
            <w:pPr>
              <w:widowControl/>
              <w:spacing w:line="300" w:lineRule="auto"/>
              <w:jc w:val="center"/>
              <w:rPr>
                <w:rFonts w:ascii="仿宋_GB2312" w:hAnsi="宋体" w:eastAsia="仿宋_GB2312" w:cs="宋体"/>
                <w:kern w:val="0"/>
                <w:sz w:val="18"/>
                <w:szCs w:val="18"/>
              </w:rPr>
            </w:pPr>
            <w:r>
              <w:rPr>
                <w:rFonts w:ascii="仿宋_GB2312" w:hAnsi="宋体" w:eastAsia="仿宋_GB2312" w:cs="宋体"/>
                <w:kern w:val="0"/>
                <w:szCs w:val="21"/>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967" w:type="dxa"/>
            <w:vMerge w:val="continue"/>
          </w:tcPr>
          <w:p>
            <w:pPr>
              <w:rPr>
                <w:rFonts w:ascii="宋体"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040106</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高等教育学</w:t>
            </w:r>
          </w:p>
        </w:tc>
        <w:tc>
          <w:tcPr>
            <w:tcW w:w="1134" w:type="dxa"/>
            <w:tcBorders>
              <w:right w:val="single" w:color="auto" w:sz="4" w:space="0"/>
            </w:tcBorders>
            <w:vAlign w:val="center"/>
          </w:tcPr>
          <w:p>
            <w:pPr>
              <w:widowControl/>
              <w:spacing w:line="300" w:lineRule="auto"/>
              <w:jc w:val="center"/>
              <w:rPr>
                <w:rFonts w:ascii="仿宋_GB2312" w:hAnsi="宋体" w:eastAsia="仿宋_GB2312" w:cs="宋体"/>
                <w:kern w:val="0"/>
                <w:sz w:val="24"/>
                <w:szCs w:val="24"/>
              </w:rPr>
            </w:pPr>
          </w:p>
        </w:tc>
        <w:tc>
          <w:tcPr>
            <w:tcW w:w="1701" w:type="dxa"/>
            <w:tcBorders>
              <w:left w:val="single" w:color="auto" w:sz="4" w:space="0"/>
            </w:tcBorders>
            <w:vAlign w:val="center"/>
          </w:tcPr>
          <w:p>
            <w:pPr>
              <w:spacing w:line="300" w:lineRule="auto"/>
              <w:jc w:val="center"/>
              <w:rPr>
                <w:rFonts w:ascii="仿宋_GB2312" w:hAnsi="宋体" w:eastAsia="仿宋_GB2312" w:cs="宋体"/>
                <w:kern w:val="0"/>
                <w:sz w:val="24"/>
                <w:szCs w:val="24"/>
              </w:rPr>
            </w:pPr>
            <w:r>
              <w:rPr>
                <w:rFonts w:ascii="仿宋_GB2312" w:hAnsi="宋体" w:eastAsia="仿宋_GB2312" w:cs="宋体"/>
                <w:kern w:val="0"/>
                <w:szCs w:val="21"/>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967" w:type="dxa"/>
          </w:tcPr>
          <w:p>
            <w:pPr>
              <w:rPr>
                <w:rFonts w:ascii="宋体"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035200</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社会工作</w:t>
            </w:r>
          </w:p>
        </w:tc>
        <w:tc>
          <w:tcPr>
            <w:tcW w:w="1134" w:type="dxa"/>
            <w:tcBorders>
              <w:right w:val="single" w:color="auto" w:sz="4" w:space="0"/>
            </w:tcBorders>
            <w:vAlign w:val="center"/>
          </w:tcPr>
          <w:p>
            <w:pPr>
              <w:widowControl/>
              <w:spacing w:line="300" w:lineRule="auto"/>
              <w:jc w:val="center"/>
              <w:rPr>
                <w:rFonts w:ascii="仿宋_GB2312" w:hAnsi="宋体" w:eastAsia="仿宋_GB2312" w:cs="宋体"/>
                <w:kern w:val="0"/>
                <w:sz w:val="24"/>
                <w:szCs w:val="24"/>
              </w:rPr>
            </w:pPr>
            <w:r>
              <w:rPr>
                <w:rFonts w:hint="eastAsia" w:ascii="仿宋_GB2312" w:hAnsi="Times New Roman" w:eastAsia="仿宋_GB2312"/>
                <w:kern w:val="0"/>
                <w:sz w:val="24"/>
                <w:szCs w:val="24"/>
              </w:rPr>
              <w:t>外语</w:t>
            </w:r>
            <w:r>
              <w:rPr>
                <w:rFonts w:ascii="仿宋_GB2312" w:hAnsi="Times New Roman" w:eastAsia="仿宋_GB2312"/>
                <w:kern w:val="0"/>
                <w:sz w:val="24"/>
                <w:szCs w:val="24"/>
              </w:rPr>
              <w:t>60</w:t>
            </w:r>
            <w:r>
              <w:rPr>
                <w:rFonts w:hint="eastAsia" w:ascii="仿宋_GB2312" w:hAnsi="Times New Roman" w:eastAsia="仿宋_GB2312"/>
                <w:kern w:val="0"/>
                <w:sz w:val="24"/>
                <w:szCs w:val="24"/>
              </w:rPr>
              <w:t>，政治</w:t>
            </w:r>
            <w:r>
              <w:rPr>
                <w:rFonts w:ascii="仿宋_GB2312" w:hAnsi="Times New Roman" w:eastAsia="仿宋_GB2312"/>
                <w:kern w:val="0"/>
                <w:sz w:val="24"/>
                <w:szCs w:val="24"/>
              </w:rPr>
              <w:t>60</w:t>
            </w:r>
          </w:p>
        </w:tc>
        <w:tc>
          <w:tcPr>
            <w:tcW w:w="1701" w:type="dxa"/>
            <w:tcBorders>
              <w:left w:val="single" w:color="auto" w:sz="4" w:space="0"/>
            </w:tcBorders>
            <w:vAlign w:val="center"/>
          </w:tcPr>
          <w:p>
            <w:pPr>
              <w:spacing w:line="300" w:lineRule="auto"/>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967" w:type="dxa"/>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035102</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法律（法学）</w:t>
            </w:r>
          </w:p>
        </w:tc>
        <w:tc>
          <w:tcPr>
            <w:tcW w:w="1134" w:type="dxa"/>
            <w:tcBorders>
              <w:right w:val="single" w:color="auto" w:sz="4" w:space="0"/>
            </w:tcBorders>
            <w:vAlign w:val="center"/>
          </w:tcPr>
          <w:p>
            <w:pPr>
              <w:widowControl/>
              <w:adjustRightInd w:val="0"/>
              <w:snapToGrid w:val="0"/>
              <w:spacing w:line="300" w:lineRule="auto"/>
              <w:jc w:val="center"/>
              <w:rPr>
                <w:rFonts w:ascii="仿宋_GB2312" w:hAnsi="宋体" w:eastAsia="仿宋_GB2312" w:cs="宋体"/>
                <w:kern w:val="0"/>
                <w:sz w:val="24"/>
                <w:szCs w:val="24"/>
              </w:rPr>
            </w:pPr>
            <w:r>
              <w:rPr>
                <w:rFonts w:hint="eastAsia" w:ascii="仿宋_GB2312" w:hAnsi="Times New Roman" w:eastAsia="仿宋_GB2312"/>
                <w:kern w:val="0"/>
                <w:sz w:val="24"/>
                <w:szCs w:val="24"/>
              </w:rPr>
              <w:t>外语</w:t>
            </w:r>
            <w:r>
              <w:rPr>
                <w:rFonts w:ascii="仿宋_GB2312" w:hAnsi="Times New Roman" w:eastAsia="仿宋_GB2312"/>
                <w:kern w:val="0"/>
                <w:sz w:val="24"/>
                <w:szCs w:val="24"/>
              </w:rPr>
              <w:t>60</w:t>
            </w:r>
            <w:r>
              <w:rPr>
                <w:rFonts w:hint="eastAsia" w:ascii="仿宋_GB2312" w:hAnsi="Times New Roman" w:eastAsia="仿宋_GB2312"/>
                <w:kern w:val="0"/>
                <w:sz w:val="24"/>
                <w:szCs w:val="24"/>
              </w:rPr>
              <w:t>，政治</w:t>
            </w:r>
            <w:r>
              <w:rPr>
                <w:rFonts w:ascii="仿宋_GB2312" w:hAnsi="Times New Roman" w:eastAsia="仿宋_GB2312"/>
                <w:kern w:val="0"/>
                <w:sz w:val="24"/>
                <w:szCs w:val="24"/>
              </w:rPr>
              <w:t>60</w:t>
            </w:r>
            <w:r>
              <w:rPr>
                <w:rFonts w:hint="eastAsia" w:ascii="仿宋_GB2312" w:hAnsi="Times New Roman" w:eastAsia="仿宋_GB2312"/>
                <w:kern w:val="0"/>
                <w:sz w:val="24"/>
                <w:szCs w:val="24"/>
              </w:rPr>
              <w:t>，专业课</w:t>
            </w:r>
            <w:r>
              <w:rPr>
                <w:rFonts w:ascii="仿宋_GB2312" w:hAnsi="Times New Roman" w:eastAsia="仿宋_GB2312"/>
                <w:kern w:val="0"/>
                <w:sz w:val="24"/>
                <w:szCs w:val="24"/>
              </w:rPr>
              <w:t>100</w:t>
            </w:r>
          </w:p>
        </w:tc>
        <w:tc>
          <w:tcPr>
            <w:tcW w:w="1701" w:type="dxa"/>
            <w:tcBorders>
              <w:left w:val="single" w:color="auto" w:sz="4" w:space="0"/>
            </w:tcBorders>
            <w:vAlign w:val="center"/>
          </w:tcPr>
          <w:p>
            <w:pPr>
              <w:adjustRightInd w:val="0"/>
              <w:snapToGrid w:val="0"/>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967" w:type="dxa"/>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035101</w:t>
            </w:r>
          </w:p>
        </w:tc>
        <w:tc>
          <w:tcPr>
            <w:tcW w:w="1729"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法律（非法学）</w:t>
            </w:r>
          </w:p>
        </w:tc>
        <w:tc>
          <w:tcPr>
            <w:tcW w:w="1134" w:type="dxa"/>
            <w:tcBorders>
              <w:right w:val="single" w:color="auto" w:sz="4" w:space="0"/>
            </w:tcBorders>
            <w:vAlign w:val="center"/>
          </w:tcPr>
          <w:p>
            <w:pPr>
              <w:widowControl/>
              <w:adjustRightInd w:val="0"/>
              <w:snapToGrid w:val="0"/>
              <w:spacing w:line="300" w:lineRule="auto"/>
              <w:jc w:val="center"/>
              <w:rPr>
                <w:rFonts w:ascii="仿宋_GB2312" w:hAnsi="宋体" w:eastAsia="仿宋_GB2312" w:cs="宋体"/>
                <w:kern w:val="0"/>
                <w:sz w:val="24"/>
                <w:szCs w:val="24"/>
              </w:rPr>
            </w:pPr>
            <w:r>
              <w:rPr>
                <w:rFonts w:hint="eastAsia" w:ascii="仿宋_GB2312" w:hAnsi="Times New Roman" w:eastAsia="仿宋_GB2312"/>
                <w:kern w:val="0"/>
                <w:sz w:val="24"/>
                <w:szCs w:val="24"/>
              </w:rPr>
              <w:t>外语</w:t>
            </w:r>
            <w:r>
              <w:rPr>
                <w:rFonts w:ascii="仿宋_GB2312" w:hAnsi="Times New Roman" w:eastAsia="仿宋_GB2312"/>
                <w:kern w:val="0"/>
                <w:sz w:val="24"/>
                <w:szCs w:val="24"/>
              </w:rPr>
              <w:t>60</w:t>
            </w:r>
            <w:r>
              <w:rPr>
                <w:rFonts w:hint="eastAsia" w:ascii="仿宋_GB2312" w:hAnsi="Times New Roman" w:eastAsia="仿宋_GB2312"/>
                <w:kern w:val="0"/>
                <w:sz w:val="24"/>
                <w:szCs w:val="24"/>
              </w:rPr>
              <w:t>，政治</w:t>
            </w:r>
            <w:r>
              <w:rPr>
                <w:rFonts w:ascii="仿宋_GB2312" w:hAnsi="Times New Roman" w:eastAsia="仿宋_GB2312"/>
                <w:kern w:val="0"/>
                <w:sz w:val="24"/>
                <w:szCs w:val="24"/>
              </w:rPr>
              <w:t>60</w:t>
            </w:r>
            <w:r>
              <w:rPr>
                <w:rFonts w:hint="eastAsia" w:ascii="仿宋_GB2312" w:hAnsi="Times New Roman" w:eastAsia="仿宋_GB2312"/>
                <w:kern w:val="0"/>
                <w:sz w:val="24"/>
                <w:szCs w:val="24"/>
              </w:rPr>
              <w:t>，专业课</w:t>
            </w:r>
            <w:r>
              <w:rPr>
                <w:rFonts w:ascii="仿宋_GB2312" w:hAnsi="Times New Roman" w:eastAsia="仿宋_GB2312"/>
                <w:kern w:val="0"/>
                <w:sz w:val="24"/>
                <w:szCs w:val="24"/>
              </w:rPr>
              <w:t>100</w:t>
            </w:r>
          </w:p>
        </w:tc>
        <w:tc>
          <w:tcPr>
            <w:tcW w:w="1701" w:type="dxa"/>
            <w:tcBorders>
              <w:left w:val="single" w:color="auto" w:sz="4" w:space="0"/>
            </w:tcBorders>
            <w:vAlign w:val="center"/>
          </w:tcPr>
          <w:p>
            <w:pPr>
              <w:adjustRightInd w:val="0"/>
              <w:snapToGrid w:val="0"/>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325</w:t>
            </w:r>
          </w:p>
        </w:tc>
      </w:tr>
    </w:tbl>
    <w:p>
      <w:pPr>
        <w:spacing w:line="500" w:lineRule="exact"/>
        <w:ind w:firstLine="46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、接收调剂考生进入复试条件</w:t>
      </w:r>
    </w:p>
    <w:p>
      <w:pPr>
        <w:widowControl/>
        <w:spacing w:line="500" w:lineRule="exact"/>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）符合《</w:t>
      </w:r>
      <w:r>
        <w:rPr>
          <w:rFonts w:ascii="Times New Roman" w:hAnsi="Times New Roman" w:eastAsia="仿宋_GB2312"/>
          <w:color w:val="000000"/>
          <w:kern w:val="0"/>
          <w:sz w:val="24"/>
          <w:szCs w:val="24"/>
        </w:rPr>
        <w:t>2019</w:t>
      </w:r>
      <w:r>
        <w:rPr>
          <w:rFonts w:hint="eastAsia" w:ascii="Times New Roman" w:hAnsi="Times New Roman" w:eastAsia="仿宋_GB2312"/>
          <w:color w:val="000000"/>
          <w:kern w:val="0"/>
          <w:sz w:val="24"/>
          <w:szCs w:val="24"/>
        </w:rPr>
        <w:t>年全国硕士研究生招生工作管理规定》中关于调剂的要求。</w:t>
      </w:r>
    </w:p>
    <w:p>
      <w:pPr>
        <w:pStyle w:val="6"/>
        <w:spacing w:before="0" w:beforeAutospacing="0" w:after="0" w:afterAutospacing="0" w:line="360" w:lineRule="auto"/>
        <w:rPr>
          <w:color w:val="0000FF"/>
        </w:rPr>
      </w:pPr>
      <w:r>
        <w:rPr>
          <w:rFonts w:hint="eastAsia" w:ascii="Times New Roman" w:hAnsi="Times New Roman" w:eastAsia="仿宋_GB2312" w:cs="Times New Roman"/>
          <w:color w:val="000000"/>
        </w:rPr>
        <w:t>（</w:t>
      </w:r>
      <w:r>
        <w:rPr>
          <w:rFonts w:ascii="Times New Roman" w:hAnsi="Times New Roman" w:eastAsia="仿宋_GB2312" w:cs="Times New Roman"/>
          <w:color w:val="000000"/>
        </w:rPr>
        <w:t>2</w:t>
      </w:r>
      <w:r>
        <w:rPr>
          <w:rFonts w:hint="eastAsia" w:ascii="Times New Roman" w:hAnsi="Times New Roman" w:eastAsia="仿宋_GB2312" w:cs="Times New Roman"/>
          <w:color w:val="000000"/>
        </w:rPr>
        <w:t>）可申请我校优秀生源调剂的考生范围详见报名网站，本科结业、成人教育、自考、网络教育等学习形式的毕业生，分校、独立二级学院及主校区所在地以外的异地校区的毕业生不在接收范围之内。</w:t>
      </w:r>
      <w:r>
        <w:rPr>
          <w:rFonts w:hint="eastAsia"/>
          <w:color w:val="0000FF"/>
        </w:rPr>
        <w:t>（对提交虚假信息的调剂考生，一经发现立即取消调剂资格，并记入诚信记录。）</w:t>
      </w:r>
    </w:p>
    <w:p>
      <w:pPr>
        <w:widowControl/>
        <w:spacing w:line="500" w:lineRule="exact"/>
        <w:ind w:firstLine="470" w:firstLineChars="196"/>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）考生申请调入专业与本科阶段所学专业或第一志愿报考专业相同或相近，</w:t>
      </w:r>
      <w:r>
        <w:rPr>
          <w:rFonts w:hint="eastAsia" w:ascii="Times New Roman" w:hAnsi="Times New Roman" w:eastAsia="仿宋_GB2312"/>
          <w:kern w:val="0"/>
          <w:sz w:val="24"/>
          <w:szCs w:val="24"/>
        </w:rPr>
        <w:t>申请调入社会工作专业的考生</w:t>
      </w:r>
      <w:r>
        <w:rPr>
          <w:rFonts w:ascii="Times New Roman" w:hAnsi="Times New Roman" w:eastAsia="仿宋_GB2312"/>
          <w:kern w:val="0"/>
          <w:sz w:val="24"/>
          <w:szCs w:val="24"/>
        </w:rPr>
        <w:t>,</w:t>
      </w:r>
      <w:r>
        <w:rPr>
          <w:rFonts w:hint="eastAsia" w:ascii="Times New Roman" w:hAnsi="Times New Roman" w:eastAsia="仿宋_GB2312"/>
          <w:kern w:val="0"/>
          <w:sz w:val="24"/>
          <w:szCs w:val="24"/>
        </w:rPr>
        <w:t>第一志愿报考专业必须为社会工作</w:t>
      </w:r>
      <w:r>
        <w:rPr>
          <w:rFonts w:hint="eastAsia" w:ascii="Times New Roman" w:hAnsi="Times New Roman" w:eastAsia="仿宋_GB2312"/>
          <w:color w:val="000000"/>
          <w:kern w:val="0"/>
          <w:sz w:val="24"/>
          <w:szCs w:val="24"/>
        </w:rPr>
        <w:t>；第一志愿报考专业学位考生只能调剂到专业学位相关领域；每位考生只能申请一个调剂专业。</w:t>
      </w:r>
    </w:p>
    <w:p>
      <w:pPr>
        <w:widowControl/>
        <w:spacing w:line="500" w:lineRule="exact"/>
        <w:ind w:firstLine="470" w:firstLineChars="196"/>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4</w:t>
      </w:r>
      <w:r>
        <w:rPr>
          <w:rFonts w:hint="eastAsia" w:ascii="Times New Roman" w:hAnsi="Times New Roman" w:eastAsia="仿宋_GB2312"/>
          <w:color w:val="000000"/>
          <w:kern w:val="0"/>
          <w:sz w:val="24"/>
          <w:szCs w:val="24"/>
        </w:rPr>
        <w:t>）初试成绩符合第一志愿报考专业在一区的全国初试成绩基本要求（以教育部通知为准）。</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5</w:t>
      </w:r>
      <w:r>
        <w:rPr>
          <w:rFonts w:hint="eastAsia" w:ascii="Times New Roman" w:hAnsi="Times New Roman" w:eastAsia="仿宋_GB2312"/>
          <w:color w:val="000000"/>
          <w:kern w:val="0"/>
          <w:sz w:val="24"/>
          <w:szCs w:val="24"/>
        </w:rPr>
        <w:t>）复试名单将在我院网站陆续公布，请考生密切关注。</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四、调剂复试资格审查及复试安排</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、考生所需提交材料</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color w:val="000000"/>
          <w:kern w:val="0"/>
          <w:sz w:val="24"/>
          <w:szCs w:val="24"/>
        </w:rPr>
        <w:t>①</w:t>
      </w:r>
      <w:r>
        <w:rPr>
          <w:rFonts w:ascii="Times New Roman" w:hAnsi="Times New Roman" w:eastAsia="仿宋_GB2312"/>
          <w:color w:val="000000"/>
          <w:kern w:val="0"/>
          <w:sz w:val="24"/>
          <w:szCs w:val="24"/>
        </w:rPr>
        <w:t> </w:t>
      </w:r>
      <w:r>
        <w:rPr>
          <w:rFonts w:hint="eastAsia" w:ascii="Times New Roman" w:hAnsi="Times New Roman" w:eastAsia="仿宋_GB2312"/>
          <w:kern w:val="0"/>
          <w:sz w:val="24"/>
          <w:szCs w:val="24"/>
        </w:rPr>
        <w:t>准考证原件及复印件（留存）；应届生要出示学生证；往届生要出示毕业证书（结业证书不认可）。</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②</w:t>
      </w:r>
      <w:r>
        <w:rPr>
          <w:rFonts w:ascii="Times New Roman" w:hAnsi="Times New Roman" w:eastAsia="仿宋_GB2312"/>
          <w:kern w:val="0"/>
          <w:sz w:val="24"/>
          <w:szCs w:val="24"/>
        </w:rPr>
        <w:t> </w:t>
      </w:r>
      <w:r>
        <w:rPr>
          <w:rFonts w:hint="eastAsia" w:ascii="Times New Roman" w:hAnsi="Times New Roman" w:eastAsia="仿宋_GB2312"/>
          <w:kern w:val="0"/>
          <w:sz w:val="24"/>
          <w:szCs w:val="24"/>
        </w:rPr>
        <w:t>认证报告（应届生提交《教育部学籍在线验证报告》，往届生提交《教育部学历证书电子注册备案表》或《中国高等教育学历认证报告》），未提交的考生一律不得参加复试。</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kern w:val="0"/>
          <w:sz w:val="24"/>
          <w:szCs w:val="24"/>
        </w:rPr>
        <w:t>③</w:t>
      </w:r>
      <w:r>
        <w:rPr>
          <w:rFonts w:ascii="Times New Roman" w:hAnsi="Times New Roman" w:eastAsia="仿宋_GB2312"/>
          <w:kern w:val="0"/>
          <w:sz w:val="24"/>
          <w:szCs w:val="24"/>
        </w:rPr>
        <w:t> </w:t>
      </w:r>
      <w:r>
        <w:rPr>
          <w:rFonts w:hint="eastAsia" w:ascii="Times New Roman" w:hAnsi="Times New Roman" w:eastAsia="仿宋_GB2312"/>
          <w:kern w:val="0"/>
          <w:sz w:val="24"/>
          <w:szCs w:val="24"/>
        </w:rPr>
        <w:t>考生初试成绩以及</w:t>
      </w:r>
      <w:r>
        <w:rPr>
          <w:rFonts w:hint="eastAsia" w:ascii="Times New Roman" w:hAnsi="Times New Roman" w:eastAsia="仿宋_GB2312"/>
          <w:color w:val="000000"/>
          <w:kern w:val="0"/>
          <w:sz w:val="24"/>
          <w:szCs w:val="24"/>
        </w:rPr>
        <w:t>在校历年学习成绩单原件（须加盖教务或人事部门公章）。</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、复试考生每人</w:t>
      </w:r>
      <w:r>
        <w:rPr>
          <w:rFonts w:hint="eastAsia" w:ascii="宋体" w:hAnsi="宋体" w:cs="宋体"/>
          <w:color w:val="000000"/>
          <w:kern w:val="0"/>
          <w:szCs w:val="24"/>
        </w:rPr>
        <w:t>交</w:t>
      </w:r>
      <w:r>
        <w:rPr>
          <w:rFonts w:hint="eastAsia" w:ascii="Times New Roman" w:hAnsi="Times New Roman" w:eastAsia="仿宋_GB2312"/>
          <w:color w:val="000000"/>
          <w:kern w:val="0"/>
          <w:sz w:val="24"/>
          <w:szCs w:val="24"/>
        </w:rPr>
        <w:t>纳</w:t>
      </w:r>
      <w:r>
        <w:rPr>
          <w:rFonts w:ascii="Times New Roman" w:hAnsi="Times New Roman" w:eastAsia="仿宋_GB2312"/>
          <w:color w:val="000000"/>
          <w:kern w:val="0"/>
          <w:sz w:val="24"/>
          <w:szCs w:val="24"/>
        </w:rPr>
        <w:t>80</w:t>
      </w:r>
      <w:r>
        <w:rPr>
          <w:rFonts w:hint="eastAsia" w:ascii="Times New Roman" w:hAnsi="Times New Roman" w:eastAsia="仿宋_GB2312"/>
          <w:color w:val="000000"/>
          <w:kern w:val="0"/>
          <w:sz w:val="24"/>
          <w:szCs w:val="24"/>
        </w:rPr>
        <w:t>元复试费，由学院收取。</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、如考生提供虚假材料，任何时候一经发现，即取消其录取资格。复试时须核实考生初试成绩确保考生身份符合我校接收调剂的条件。</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r>
        <w:rPr>
          <w:rFonts w:hint="eastAsia" w:ascii="Times New Roman" w:hAnsi="Times New Roman" w:eastAsia="仿宋_GB2312"/>
          <w:color w:val="000000"/>
          <w:kern w:val="0"/>
          <w:sz w:val="24"/>
          <w:szCs w:val="24"/>
        </w:rPr>
        <w:t>、资格审查</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法学、公共管理、法律（法学）、法律（非法学）、社会工作于</w:t>
      </w:r>
      <w:r>
        <w:rPr>
          <w:rFonts w:ascii="Times New Roman" w:hAnsi="Times New Roman" w:eastAsia="仿宋_GB2312"/>
          <w:kern w:val="0"/>
          <w:sz w:val="24"/>
          <w:szCs w:val="24"/>
        </w:rPr>
        <w:t>2019</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8:00</w:t>
      </w:r>
      <w:r>
        <w:rPr>
          <w:rFonts w:hint="eastAsia" w:ascii="Times New Roman" w:hAnsi="Times New Roman" w:eastAsia="仿宋_GB2312"/>
          <w:kern w:val="0"/>
          <w:sz w:val="24"/>
          <w:szCs w:val="24"/>
        </w:rPr>
        <w:t>在江宁校区东区人文与社会科学院一楼</w:t>
      </w:r>
      <w:r>
        <w:rPr>
          <w:rFonts w:ascii="Times New Roman" w:hAnsi="Times New Roman" w:eastAsia="仿宋_GB2312"/>
          <w:kern w:val="0"/>
          <w:sz w:val="24"/>
          <w:szCs w:val="24"/>
        </w:rPr>
        <w:t>108</w:t>
      </w:r>
      <w:r>
        <w:rPr>
          <w:rFonts w:hint="eastAsia" w:ascii="Times New Roman" w:hAnsi="Times New Roman" w:eastAsia="仿宋_GB2312"/>
          <w:color w:val="000000"/>
          <w:kern w:val="0"/>
          <w:sz w:val="24"/>
          <w:szCs w:val="24"/>
        </w:rPr>
        <w:t>报到，进行资格审查。教育学于</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12</w:t>
      </w:r>
      <w:r>
        <w:rPr>
          <w:rFonts w:hint="eastAsia" w:ascii="Times New Roman" w:hAnsi="Times New Roman" w:eastAsia="仿宋_GB2312"/>
          <w:color w:val="000000"/>
          <w:kern w:val="0"/>
          <w:sz w:val="24"/>
          <w:szCs w:val="24"/>
        </w:rPr>
        <w:t>日上午</w:t>
      </w:r>
      <w:r>
        <w:rPr>
          <w:rFonts w:ascii="Times New Roman" w:hAnsi="Times New Roman" w:eastAsia="仿宋_GB2312"/>
          <w:color w:val="000000"/>
          <w:kern w:val="0"/>
          <w:sz w:val="24"/>
          <w:szCs w:val="24"/>
        </w:rPr>
        <w:t>8:30~9:30</w:t>
      </w:r>
      <w:r>
        <w:rPr>
          <w:rFonts w:hint="eastAsia" w:ascii="Times New Roman" w:hAnsi="Times New Roman" w:eastAsia="仿宋_GB2312"/>
          <w:color w:val="000000"/>
          <w:kern w:val="0"/>
          <w:sz w:val="24"/>
          <w:szCs w:val="24"/>
        </w:rPr>
        <w:t>在明故宫校区综合楼</w:t>
      </w:r>
      <w:r>
        <w:rPr>
          <w:rFonts w:ascii="Times New Roman" w:hAnsi="Times New Roman" w:eastAsia="仿宋_GB2312"/>
          <w:color w:val="000000"/>
          <w:kern w:val="0"/>
          <w:sz w:val="24"/>
          <w:szCs w:val="24"/>
        </w:rPr>
        <w:t>1013</w:t>
      </w:r>
      <w:r>
        <w:rPr>
          <w:rFonts w:hint="eastAsia" w:ascii="Times New Roman" w:hAnsi="Times New Roman" w:eastAsia="仿宋_GB2312"/>
          <w:color w:val="000000"/>
          <w:kern w:val="0"/>
          <w:sz w:val="24"/>
          <w:szCs w:val="24"/>
        </w:rPr>
        <w:t>室进行资格审查。</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未在规定时间内提交审查材料、以及材料不符合我院调剂复试要求者均视为放弃。</w:t>
      </w:r>
    </w:p>
    <w:p>
      <w:pPr>
        <w:spacing w:line="360" w:lineRule="auto"/>
        <w:ind w:firstLine="600" w:firstLineChars="25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、复试时间地点</w:t>
      </w:r>
    </w:p>
    <w:p>
      <w:pPr>
        <w:spacing w:line="440" w:lineRule="exact"/>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教育学：</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12</w:t>
      </w:r>
      <w:r>
        <w:rPr>
          <w:rFonts w:hint="eastAsia" w:ascii="Times New Roman" w:hAnsi="Times New Roman" w:eastAsia="仿宋_GB2312"/>
          <w:color w:val="000000"/>
          <w:kern w:val="0"/>
          <w:sz w:val="24"/>
          <w:szCs w:val="24"/>
        </w:rPr>
        <w:t>日上午</w:t>
      </w:r>
      <w:r>
        <w:rPr>
          <w:rFonts w:ascii="Times New Roman" w:hAnsi="Times New Roman" w:eastAsia="仿宋_GB2312"/>
          <w:color w:val="000000"/>
          <w:kern w:val="0"/>
          <w:sz w:val="24"/>
          <w:szCs w:val="24"/>
        </w:rPr>
        <w:t xml:space="preserve">10:00          </w:t>
      </w:r>
      <w:r>
        <w:rPr>
          <w:rFonts w:hint="eastAsia" w:ascii="Times New Roman" w:hAnsi="Times New Roman" w:eastAsia="仿宋_GB2312"/>
          <w:color w:val="000000"/>
          <w:kern w:val="0"/>
          <w:sz w:val="24"/>
          <w:szCs w:val="24"/>
        </w:rPr>
        <w:t>地点：明故宫综合楼</w:t>
      </w:r>
      <w:r>
        <w:rPr>
          <w:rFonts w:ascii="Times New Roman" w:hAnsi="Times New Roman" w:eastAsia="仿宋_GB2312"/>
          <w:color w:val="000000"/>
          <w:kern w:val="0"/>
          <w:sz w:val="24"/>
          <w:szCs w:val="24"/>
        </w:rPr>
        <w:t>1019</w:t>
      </w:r>
      <w:r>
        <w:rPr>
          <w:rFonts w:hint="eastAsia" w:ascii="Times New Roman" w:hAnsi="Times New Roman" w:eastAsia="仿宋_GB2312"/>
          <w:color w:val="000000"/>
          <w:kern w:val="0"/>
          <w:sz w:val="24"/>
          <w:szCs w:val="24"/>
        </w:rPr>
        <w:t>室</w:t>
      </w:r>
    </w:p>
    <w:p>
      <w:pPr>
        <w:spacing w:line="44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法学、公共管理、法律（法学）、法律（非法学）、社会工作候场地点：</w:t>
      </w:r>
    </w:p>
    <w:p>
      <w:pPr>
        <w:spacing w:line="440" w:lineRule="exact"/>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410</w:t>
      </w:r>
    </w:p>
    <w:p>
      <w:pPr>
        <w:spacing w:line="440" w:lineRule="exact"/>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日下午：将军路校区西区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201</w:t>
      </w:r>
    </w:p>
    <w:p>
      <w:pPr>
        <w:spacing w:line="440" w:lineRule="exact"/>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复试地点：</w:t>
      </w:r>
    </w:p>
    <w:p>
      <w:pPr>
        <w:spacing w:line="44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法学：</w:t>
      </w:r>
      <w:r>
        <w:rPr>
          <w:rFonts w:ascii="Times New Roman" w:hAnsi="Times New Roman" w:eastAsia="仿宋_GB2312"/>
          <w:kern w:val="0"/>
          <w:sz w:val="24"/>
          <w:szCs w:val="24"/>
        </w:rPr>
        <w:t xml:space="preserve"> 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 xml:space="preserve">8:30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309</w:t>
      </w:r>
    </w:p>
    <w:p>
      <w:pPr>
        <w:spacing w:line="44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           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日下午</w:t>
      </w:r>
      <w:r>
        <w:rPr>
          <w:rFonts w:ascii="Times New Roman" w:hAnsi="Times New Roman" w:eastAsia="仿宋_GB2312"/>
          <w:kern w:val="0"/>
          <w:sz w:val="24"/>
          <w:szCs w:val="24"/>
        </w:rPr>
        <w:t>1</w:t>
      </w:r>
      <w:r>
        <w:rPr>
          <w:rFonts w:hint="eastAsia" w:ascii="Times New Roman" w:hAnsi="Times New Roman" w:eastAsia="仿宋_GB2312"/>
          <w:kern w:val="0"/>
          <w:sz w:val="24"/>
          <w:szCs w:val="24"/>
        </w:rPr>
        <w:t>：</w:t>
      </w:r>
      <w:r>
        <w:rPr>
          <w:rFonts w:ascii="Times New Roman" w:hAnsi="Times New Roman" w:eastAsia="仿宋_GB2312"/>
          <w:kern w:val="0"/>
          <w:sz w:val="24"/>
          <w:szCs w:val="24"/>
        </w:rPr>
        <w:t xml:space="preserve">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207</w:t>
      </w:r>
    </w:p>
    <w:p>
      <w:pPr>
        <w:spacing w:line="44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公共管理：</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8:30</w:t>
      </w:r>
      <w:r>
        <w:rPr>
          <w:rFonts w:hint="eastAsia" w:ascii="Times New Roman" w:hAnsi="Times New Roman" w:eastAsia="仿宋_GB2312"/>
          <w:kern w:val="0"/>
          <w:sz w:val="24"/>
          <w:szCs w:val="24"/>
        </w:rPr>
        <w:t>：</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305</w:t>
      </w:r>
    </w:p>
    <w:p>
      <w:pPr>
        <w:spacing w:line="44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法律（非法学）：</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 xml:space="preserve">8:30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312</w:t>
      </w:r>
    </w:p>
    <w:p>
      <w:pPr>
        <w:spacing w:line="44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                    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日下午</w:t>
      </w:r>
      <w:r>
        <w:rPr>
          <w:rFonts w:ascii="Times New Roman" w:hAnsi="Times New Roman" w:eastAsia="仿宋_GB2312"/>
          <w:kern w:val="0"/>
          <w:sz w:val="24"/>
          <w:szCs w:val="24"/>
        </w:rPr>
        <w:t>1</w:t>
      </w:r>
      <w:r>
        <w:rPr>
          <w:rFonts w:hint="eastAsia" w:ascii="Times New Roman" w:hAnsi="Times New Roman" w:eastAsia="仿宋_GB2312"/>
          <w:kern w:val="0"/>
          <w:sz w:val="24"/>
          <w:szCs w:val="24"/>
        </w:rPr>
        <w:t>：</w:t>
      </w:r>
      <w:r>
        <w:rPr>
          <w:rFonts w:ascii="Times New Roman" w:hAnsi="Times New Roman" w:eastAsia="仿宋_GB2312"/>
          <w:kern w:val="0"/>
          <w:sz w:val="24"/>
          <w:szCs w:val="24"/>
        </w:rPr>
        <w:t xml:space="preserve">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209</w:t>
      </w:r>
    </w:p>
    <w:p>
      <w:pPr>
        <w:spacing w:line="440" w:lineRule="exact"/>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法律（法学）：</w:t>
      </w:r>
      <w:r>
        <w:rPr>
          <w:rFonts w:ascii="Times New Roman" w:hAnsi="Times New Roman" w:eastAsia="仿宋_GB2312"/>
          <w:kern w:val="0"/>
          <w:sz w:val="24"/>
          <w:szCs w:val="24"/>
        </w:rPr>
        <w:t xml:space="preserve">  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 xml:space="preserve">8:30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110</w:t>
      </w:r>
    </w:p>
    <w:p>
      <w:pPr>
        <w:spacing w:line="440" w:lineRule="exact"/>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社会工作：</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12</w:t>
      </w:r>
      <w:r>
        <w:rPr>
          <w:rFonts w:hint="eastAsia" w:ascii="Times New Roman" w:hAnsi="Times New Roman" w:eastAsia="仿宋_GB2312"/>
          <w:kern w:val="0"/>
          <w:sz w:val="24"/>
          <w:szCs w:val="24"/>
        </w:rPr>
        <w:t>日上午</w:t>
      </w:r>
      <w:r>
        <w:rPr>
          <w:rFonts w:ascii="Times New Roman" w:hAnsi="Times New Roman" w:eastAsia="仿宋_GB2312"/>
          <w:kern w:val="0"/>
          <w:sz w:val="24"/>
          <w:szCs w:val="24"/>
        </w:rPr>
        <w:t xml:space="preserve">8:30        </w:t>
      </w:r>
      <w:r>
        <w:rPr>
          <w:rFonts w:hint="eastAsia" w:ascii="Times New Roman" w:hAnsi="Times New Roman" w:eastAsia="仿宋_GB2312"/>
          <w:kern w:val="0"/>
          <w:sz w:val="24"/>
          <w:szCs w:val="24"/>
        </w:rPr>
        <w:t>地点：将军路校区西区</w:t>
      </w:r>
      <w:r>
        <w:rPr>
          <w:rFonts w:ascii="Times New Roman" w:hAnsi="Times New Roman" w:eastAsia="仿宋_GB2312"/>
          <w:kern w:val="0"/>
          <w:sz w:val="24"/>
          <w:szCs w:val="24"/>
        </w:rPr>
        <w:t>1</w:t>
      </w:r>
      <w:r>
        <w:rPr>
          <w:rFonts w:hint="eastAsia" w:ascii="Times New Roman" w:hAnsi="Times New Roman" w:eastAsia="仿宋_GB2312"/>
          <w:kern w:val="0"/>
          <w:sz w:val="24"/>
          <w:szCs w:val="24"/>
        </w:rPr>
        <w:t>号楼</w:t>
      </w:r>
      <w:r>
        <w:rPr>
          <w:rFonts w:ascii="Times New Roman" w:hAnsi="Times New Roman" w:eastAsia="仿宋_GB2312"/>
          <w:kern w:val="0"/>
          <w:sz w:val="24"/>
          <w:szCs w:val="24"/>
        </w:rPr>
        <w:t>409</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五、复试形式、内容和要求</w:t>
      </w:r>
      <w:r>
        <w:rPr>
          <w:rFonts w:ascii="Times New Roman" w:hAnsi="Times New Roman" w:eastAsia="仿宋_GB2312"/>
          <w:color w:val="000000"/>
          <w:kern w:val="0"/>
          <w:sz w:val="24"/>
          <w:szCs w:val="24"/>
        </w:rPr>
        <w:t xml:space="preserve"> </w:t>
      </w:r>
    </w:p>
    <w:p>
      <w:pPr>
        <w:spacing w:line="360" w:lineRule="auto"/>
        <w:ind w:firstLine="480" w:firstLineChars="200"/>
        <w:rPr>
          <w:rFonts w:ascii="Times New Roman" w:hAnsi="Times New Roman" w:eastAsia="仿宋_GB2312"/>
          <w:color w:val="000000"/>
          <w:kern w:val="0"/>
          <w:sz w:val="24"/>
          <w:szCs w:val="24"/>
        </w:rPr>
      </w:pPr>
      <w:bookmarkStart w:id="0" w:name="OLE_LINK1"/>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、复试</w:t>
      </w:r>
      <w:bookmarkEnd w:id="0"/>
      <w:r>
        <w:rPr>
          <w:rFonts w:hint="eastAsia" w:ascii="Times New Roman" w:hAnsi="Times New Roman" w:eastAsia="仿宋_GB2312"/>
          <w:color w:val="000000"/>
          <w:kern w:val="0"/>
          <w:sz w:val="24"/>
          <w:szCs w:val="24"/>
        </w:rPr>
        <w:t>形式</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复试形式为综合面试，满分</w:t>
      </w:r>
      <w:r>
        <w:rPr>
          <w:rFonts w:ascii="Times New Roman" w:hAnsi="Times New Roman" w:eastAsia="仿宋_GB2312"/>
          <w:color w:val="000000"/>
          <w:kern w:val="0"/>
          <w:sz w:val="24"/>
          <w:szCs w:val="24"/>
        </w:rPr>
        <w:t>300</w:t>
      </w:r>
      <w:r>
        <w:rPr>
          <w:rFonts w:hint="eastAsia" w:ascii="Times New Roman" w:hAnsi="Times New Roman" w:eastAsia="仿宋_GB2312"/>
          <w:color w:val="000000"/>
          <w:kern w:val="0"/>
          <w:sz w:val="24"/>
          <w:szCs w:val="24"/>
        </w:rPr>
        <w:t>分，综合面试包括外语能力、专业水平、综合素质等，对每位考生的考核时间一般不少于</w:t>
      </w:r>
      <w:r>
        <w:rPr>
          <w:rFonts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rPr>
        <w:t>分钟。</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复试成绩按百分制计算，复试成绩未达到</w:t>
      </w:r>
      <w:r>
        <w:rPr>
          <w:rFonts w:ascii="Times New Roman" w:hAnsi="Times New Roman" w:eastAsia="仿宋_GB2312"/>
          <w:color w:val="000000"/>
          <w:kern w:val="0"/>
          <w:sz w:val="24"/>
          <w:szCs w:val="24"/>
        </w:rPr>
        <w:t>60</w:t>
      </w:r>
      <w:r>
        <w:rPr>
          <w:rFonts w:hint="eastAsia" w:ascii="Times New Roman" w:hAnsi="Times New Roman" w:eastAsia="仿宋_GB2312"/>
          <w:color w:val="000000"/>
          <w:kern w:val="0"/>
          <w:sz w:val="24"/>
          <w:szCs w:val="24"/>
        </w:rPr>
        <w:t>分不予录取。</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、面试办法</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学科成立面试小组，每个面试小组设组长</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人、组员不少于</w:t>
      </w:r>
      <w:r>
        <w:rPr>
          <w:rFonts w:ascii="Times New Roman" w:hAnsi="Times New Roman" w:eastAsia="仿宋_GB2312"/>
          <w:color w:val="000000"/>
          <w:kern w:val="0"/>
          <w:sz w:val="24"/>
          <w:szCs w:val="24"/>
        </w:rPr>
        <w:t>4</w:t>
      </w:r>
      <w:r>
        <w:rPr>
          <w:rFonts w:hint="eastAsia" w:ascii="Times New Roman" w:hAnsi="Times New Roman" w:eastAsia="仿宋_GB2312"/>
          <w:color w:val="000000"/>
          <w:kern w:val="0"/>
          <w:sz w:val="24"/>
          <w:szCs w:val="24"/>
        </w:rPr>
        <w:t>人（共不少于</w:t>
      </w:r>
      <w:r>
        <w:rPr>
          <w:rFonts w:ascii="Times New Roman" w:hAnsi="Times New Roman" w:eastAsia="仿宋_GB2312"/>
          <w:color w:val="000000"/>
          <w:kern w:val="0"/>
          <w:sz w:val="24"/>
          <w:szCs w:val="24"/>
        </w:rPr>
        <w:t>5</w:t>
      </w:r>
      <w:r>
        <w:rPr>
          <w:rFonts w:hint="eastAsia" w:ascii="Times New Roman" w:hAnsi="Times New Roman" w:eastAsia="仿宋_GB2312"/>
          <w:color w:val="000000"/>
          <w:kern w:val="0"/>
          <w:sz w:val="24"/>
          <w:szCs w:val="24"/>
        </w:rPr>
        <w:t>人），其中硕士生导师不少于</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人。面试小组成员分组在面试现场决定，成员名单对外严格保密，所有面试小组成员和工作人员在面试过程中禁止携带手机，不能中途离场，不得做与面试无关的事，禁止吸烟，并统一佩戴面试工作证和复试工作证。</w:t>
      </w:r>
    </w:p>
    <w:p>
      <w:pPr>
        <w:adjustRightInd w:val="0"/>
        <w:snapToGrid w:val="0"/>
        <w:spacing w:line="360" w:lineRule="auto"/>
        <w:ind w:firstLine="600" w:firstLineChars="25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各面试小组要统一成绩评定标准，每个面试小组成员按标准对每位考生进行独立打分，不得相互讨论，并填写《</w:t>
      </w:r>
      <w:r>
        <w:rPr>
          <w:rFonts w:ascii="Times New Roman" w:hAnsi="Times New Roman" w:eastAsia="仿宋_GB2312"/>
          <w:color w:val="000000"/>
          <w:kern w:val="0"/>
          <w:sz w:val="24"/>
          <w:szCs w:val="24"/>
        </w:rPr>
        <w:t>2019</w:t>
      </w:r>
      <w:r>
        <w:rPr>
          <w:rFonts w:hint="eastAsia" w:ascii="Times New Roman" w:hAnsi="Times New Roman" w:eastAsia="仿宋_GB2312"/>
          <w:color w:val="000000"/>
          <w:kern w:val="0"/>
          <w:sz w:val="24"/>
          <w:szCs w:val="24"/>
        </w:rPr>
        <w:t>年研究生招生校外调剂生复试综合面试评分表》。</w:t>
      </w:r>
    </w:p>
    <w:p>
      <w:pPr>
        <w:snapToGrid w:val="0"/>
        <w:spacing w:line="360" w:lineRule="auto"/>
        <w:jc w:val="center"/>
        <w:rPr>
          <w:rFonts w:ascii="Times New Roman" w:hAnsi="Times New Roman" w:eastAsia="仿宋_GB2312"/>
          <w:kern w:val="0"/>
          <w:sz w:val="24"/>
          <w:szCs w:val="24"/>
        </w:rPr>
      </w:pPr>
      <w:r>
        <w:rPr>
          <w:rFonts w:hint="eastAsia" w:ascii="Times New Roman" w:hAnsi="Times New Roman" w:eastAsia="仿宋_GB2312"/>
          <w:color w:val="000000"/>
          <w:kern w:val="0"/>
          <w:sz w:val="24"/>
          <w:szCs w:val="24"/>
        </w:rPr>
        <w:t>考生面试成绩的计算：去掉一个最高分和一个最低分后，取其余成员打分的平均分为考生面试成绩。各组考生的</w:t>
      </w:r>
      <w:r>
        <w:rPr>
          <w:rFonts w:hint="eastAsia" w:ascii="Times New Roman" w:hAnsi="Times New Roman" w:eastAsia="仿宋_GB2312"/>
          <w:kern w:val="0"/>
          <w:sz w:val="24"/>
          <w:szCs w:val="24"/>
        </w:rPr>
        <w:t>《</w:t>
      </w:r>
      <w:r>
        <w:rPr>
          <w:rFonts w:ascii="Times New Roman" w:hAnsi="Times New Roman" w:eastAsia="仿宋_GB2312"/>
          <w:kern w:val="0"/>
          <w:sz w:val="24"/>
          <w:szCs w:val="24"/>
        </w:rPr>
        <w:t>2019</w:t>
      </w:r>
      <w:r>
        <w:rPr>
          <w:rFonts w:hint="eastAsia" w:ascii="Times New Roman" w:hAnsi="Times New Roman" w:eastAsia="仿宋_GB2312"/>
          <w:kern w:val="0"/>
          <w:sz w:val="24"/>
          <w:szCs w:val="24"/>
        </w:rPr>
        <w:t>年研究生招生校调剂生复试综合面试成</w:t>
      </w:r>
    </w:p>
    <w:p>
      <w:pPr>
        <w:spacing w:line="360" w:lineRule="auto"/>
        <w:rPr>
          <w:rFonts w:ascii="???????" w:hAnsi="华文中宋"/>
          <w:sz w:val="44"/>
          <w:szCs w:val="44"/>
        </w:rPr>
      </w:pPr>
      <w:r>
        <w:rPr>
          <w:rFonts w:hint="eastAsia" w:ascii="Times New Roman" w:hAnsi="Times New Roman" w:eastAsia="仿宋_GB2312"/>
          <w:kern w:val="0"/>
          <w:sz w:val="24"/>
          <w:szCs w:val="24"/>
        </w:rPr>
        <w:t>绩表》由所有面试小组成员签名确认。</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所有考生面试结束后，面试小组向学院招生工作领导小组报告面试情况。</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学院组织人员对考生的面试成绩进行汇总和登分，成绩汇总和登分时应不少于</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人同时在场，包括监督小组成员在场。</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面试基本流程如下：</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a</w:t>
      </w:r>
      <w:r>
        <w:rPr>
          <w:rFonts w:hint="eastAsia" w:ascii="Times New Roman" w:hAnsi="Times New Roman" w:eastAsia="仿宋_GB2312"/>
          <w:color w:val="000000"/>
          <w:kern w:val="0"/>
          <w:sz w:val="24"/>
          <w:szCs w:val="24"/>
        </w:rPr>
        <w:t>）面试考生现场确定自己所在的面试小组及面试顺序。</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b</w:t>
      </w:r>
      <w:r>
        <w:rPr>
          <w:rFonts w:hint="eastAsia" w:ascii="Times New Roman" w:hAnsi="Times New Roman" w:eastAsia="仿宋_GB2312"/>
          <w:color w:val="000000"/>
          <w:kern w:val="0"/>
          <w:sz w:val="24"/>
          <w:szCs w:val="24"/>
        </w:rPr>
        <w:t>）面试考生在候考区等待，将手机关闭、上交。</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c</w:t>
      </w:r>
      <w:r>
        <w:rPr>
          <w:rFonts w:hint="eastAsia" w:ascii="Times New Roman" w:hAnsi="Times New Roman" w:eastAsia="仿宋_GB2312"/>
          <w:color w:val="000000"/>
          <w:kern w:val="0"/>
          <w:sz w:val="24"/>
          <w:szCs w:val="24"/>
        </w:rPr>
        <w:t>）面试考生在导引员的引领下，到指定小组面试。</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d</w:t>
      </w:r>
      <w:r>
        <w:rPr>
          <w:rFonts w:hint="eastAsia" w:ascii="Times New Roman" w:hAnsi="Times New Roman" w:eastAsia="仿宋_GB2312"/>
          <w:color w:val="000000"/>
          <w:kern w:val="0"/>
          <w:sz w:val="24"/>
          <w:szCs w:val="24"/>
        </w:rPr>
        <w:t>）考生面试结束后直接离开复试现场。</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按教育部要求，我院对考生面试进行全程录像录音。</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参加面试时，考生可提供反映能力与水平的获奖证书、各类证明等相关材料。</w:t>
      </w:r>
      <w:r>
        <w:rPr>
          <w:rFonts w:ascii="Times New Roman" w:hAnsi="Times New Roman" w:eastAsia="仿宋_GB2312"/>
          <w:color w:val="000000"/>
          <w:kern w:val="0"/>
          <w:sz w:val="24"/>
          <w:szCs w:val="24"/>
        </w:rPr>
        <w:t> </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六、拟录取原则</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复试成绩按百分制计算，复试成绩未达到</w:t>
      </w:r>
      <w:r>
        <w:rPr>
          <w:rFonts w:ascii="Times New Roman" w:hAnsi="Times New Roman" w:eastAsia="仿宋_GB2312"/>
          <w:color w:val="000000"/>
          <w:kern w:val="0"/>
          <w:sz w:val="24"/>
          <w:szCs w:val="24"/>
        </w:rPr>
        <w:t>60</w:t>
      </w:r>
      <w:r>
        <w:rPr>
          <w:rFonts w:hint="eastAsia" w:ascii="Times New Roman" w:hAnsi="Times New Roman" w:eastAsia="仿宋_GB2312"/>
          <w:color w:val="000000"/>
          <w:kern w:val="0"/>
          <w:sz w:val="24"/>
          <w:szCs w:val="24"/>
        </w:rPr>
        <w:t>分不予录取。</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学院将录取指标分配到各学科，按照初试成绩（百分化后）和复试成绩（百分化后）各占</w:t>
      </w:r>
      <w:r>
        <w:rPr>
          <w:rFonts w:ascii="Times New Roman" w:hAnsi="Times New Roman" w:eastAsia="仿宋_GB2312"/>
          <w:color w:val="000000"/>
          <w:kern w:val="0"/>
          <w:sz w:val="24"/>
          <w:szCs w:val="24"/>
        </w:rPr>
        <w:t>50%</w:t>
      </w:r>
      <w:r>
        <w:rPr>
          <w:rFonts w:hint="eastAsia" w:ascii="Times New Roman" w:hAnsi="Times New Roman" w:eastAsia="仿宋_GB2312"/>
          <w:color w:val="000000"/>
          <w:kern w:val="0"/>
          <w:sz w:val="24"/>
          <w:szCs w:val="24"/>
        </w:rPr>
        <w:t>的比例给出总成绩，按相应学科的录取指标，根据考生的总成绩由高到低顺序录取。考生总成绩相同时，按初试成绩从高到低排序录取。</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初试成绩不符合第一志愿报考专业在一区的全国初试成绩基本要求（以教育部通知为准），将取消录取资格。</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复试结束后，我校在“</w:t>
      </w:r>
      <w:r>
        <w:rPr>
          <w:rFonts w:hint="eastAsia" w:ascii="Times New Roman" w:hAnsi="Times New Roman" w:eastAsia="仿宋_GB2312"/>
          <w:kern w:val="0"/>
          <w:sz w:val="24"/>
          <w:szCs w:val="24"/>
        </w:rPr>
        <w:t>全国硕士生招生调剂服务系统”中签发待录取通知，考生必须在待录取通知发出后两个小时内，在“全国硕士生招生调剂服务系统”中确认待录取，逾期不确认者将视为放</w:t>
      </w:r>
      <w:r>
        <w:rPr>
          <w:rFonts w:hint="eastAsia" w:ascii="Times New Roman" w:hAnsi="Times New Roman" w:eastAsia="仿宋_GB2312"/>
          <w:color w:val="000000"/>
          <w:kern w:val="0"/>
          <w:sz w:val="24"/>
          <w:szCs w:val="24"/>
        </w:rPr>
        <w:t>弃我校拟录取资格。</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七、导师确定</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每个拟录取考生与导师双向选择，学院在考生入学前确定并统一上报录取考生导师。</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kern w:val="0"/>
          <w:sz w:val="24"/>
          <w:szCs w:val="24"/>
        </w:rPr>
        <w:t>八、</w:t>
      </w:r>
      <w:r>
        <w:rPr>
          <w:rFonts w:hint="eastAsia" w:ascii="Times New Roman" w:hAnsi="Times New Roman" w:eastAsia="仿宋_GB2312"/>
          <w:color w:val="000000"/>
          <w:kern w:val="0"/>
          <w:sz w:val="24"/>
          <w:szCs w:val="24"/>
        </w:rPr>
        <w:t>地址、联系人及联系方式</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李老师</w:t>
      </w:r>
      <w:r>
        <w:rPr>
          <w:rFonts w:ascii="Times New Roman" w:hAnsi="Times New Roman" w:eastAsia="仿宋_GB2312"/>
          <w:color w:val="000000"/>
          <w:kern w:val="0"/>
          <w:sz w:val="24"/>
          <w:szCs w:val="24"/>
        </w:rPr>
        <w:t xml:space="preserve"> 025-84896422</w:t>
      </w:r>
      <w:r>
        <w:rPr>
          <w:rFonts w:hint="eastAsia" w:ascii="Times New Roman" w:hAnsi="Times New Roman" w:eastAsia="仿宋_GB2312"/>
          <w:color w:val="000000"/>
          <w:kern w:val="0"/>
          <w:sz w:val="24"/>
          <w:szCs w:val="24"/>
        </w:rPr>
        <w:t>（教育学相关专业）明故宫校区综合楼</w:t>
      </w:r>
      <w:r>
        <w:rPr>
          <w:rFonts w:ascii="Times New Roman" w:hAnsi="Times New Roman" w:eastAsia="仿宋_GB2312"/>
          <w:color w:val="000000"/>
          <w:kern w:val="0"/>
          <w:sz w:val="24"/>
          <w:szCs w:val="24"/>
        </w:rPr>
        <w:t>1013</w:t>
      </w:r>
      <w:r>
        <w:rPr>
          <w:rFonts w:hint="eastAsia" w:ascii="Times New Roman" w:hAnsi="Times New Roman" w:eastAsia="仿宋_GB2312"/>
          <w:color w:val="000000"/>
          <w:kern w:val="0"/>
          <w:sz w:val="24"/>
          <w:szCs w:val="24"/>
        </w:rPr>
        <w:t>室</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曹老师</w:t>
      </w:r>
      <w:r>
        <w:rPr>
          <w:rFonts w:ascii="Times New Roman" w:hAnsi="Times New Roman" w:eastAsia="仿宋_GB2312"/>
          <w:color w:val="000000"/>
          <w:kern w:val="0"/>
          <w:sz w:val="24"/>
          <w:szCs w:val="24"/>
        </w:rPr>
        <w:t xml:space="preserve"> 025-84893152                  </w:t>
      </w:r>
      <w:r>
        <w:rPr>
          <w:rFonts w:hint="eastAsia" w:ascii="Times New Roman" w:hAnsi="Times New Roman" w:eastAsia="仿宋_GB2312"/>
          <w:color w:val="000000"/>
          <w:kern w:val="0"/>
          <w:sz w:val="24"/>
          <w:szCs w:val="24"/>
        </w:rPr>
        <w:t>江宁校区人文楼</w:t>
      </w:r>
      <w:r>
        <w:rPr>
          <w:rFonts w:ascii="Times New Roman" w:hAnsi="Times New Roman" w:eastAsia="仿宋_GB2312"/>
          <w:color w:val="000000"/>
          <w:kern w:val="0"/>
          <w:sz w:val="24"/>
          <w:szCs w:val="24"/>
        </w:rPr>
        <w:t>301</w:t>
      </w:r>
      <w:r>
        <w:rPr>
          <w:rFonts w:hint="eastAsia" w:ascii="Times New Roman" w:hAnsi="Times New Roman" w:eastAsia="仿宋_GB2312"/>
          <w:color w:val="000000"/>
          <w:kern w:val="0"/>
          <w:sz w:val="24"/>
          <w:szCs w:val="24"/>
        </w:rPr>
        <w:t>室</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投诉电话：</w:t>
      </w:r>
      <w:r>
        <w:rPr>
          <w:rFonts w:ascii="Times New Roman" w:hAnsi="Times New Roman" w:eastAsia="仿宋_GB2312"/>
          <w:color w:val="000000"/>
          <w:kern w:val="0"/>
          <w:sz w:val="24"/>
          <w:szCs w:val="24"/>
        </w:rPr>
        <w:t>025-84893101</w:t>
      </w:r>
    </w:p>
    <w:p>
      <w:pPr>
        <w:spacing w:line="360" w:lineRule="auto"/>
        <w:ind w:firstLine="480" w:firstLineChars="200"/>
        <w:outlineLvl w:val="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九、本细则未涉及部分，由本学院招生工作领导小组负责解释。</w:t>
      </w:r>
      <w:r>
        <w:rPr>
          <w:rFonts w:ascii="Times New Roman" w:hAnsi="Times New Roman" w:eastAsia="仿宋_GB2312"/>
          <w:color w:val="000000"/>
          <w:kern w:val="0"/>
          <w:sz w:val="24"/>
          <w:szCs w:val="24"/>
        </w:rPr>
        <w:t xml:space="preserve"> </w:t>
      </w:r>
    </w:p>
    <w:p>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p>
    <w:p>
      <w:pPr>
        <w:spacing w:line="360" w:lineRule="auto"/>
        <w:ind w:firstLine="480" w:firstLineChars="200"/>
        <w:jc w:val="righ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人文与社会科学学院</w:t>
      </w:r>
      <w:r>
        <w:rPr>
          <w:rFonts w:ascii="Times New Roman" w:hAnsi="Times New Roman" w:eastAsia="仿宋_GB2312"/>
          <w:color w:val="000000"/>
          <w:kern w:val="0"/>
          <w:sz w:val="24"/>
          <w:szCs w:val="24"/>
        </w:rPr>
        <w:t xml:space="preserve"> </w:t>
      </w:r>
    </w:p>
    <w:p>
      <w:pPr>
        <w:spacing w:line="360" w:lineRule="auto"/>
        <w:ind w:firstLine="480" w:firstLineChars="200"/>
        <w:jc w:val="righ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2019</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8</w:t>
      </w:r>
      <w:bookmarkStart w:id="1" w:name="_GoBack"/>
      <w:bookmarkEnd w:id="1"/>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D9E"/>
    <w:rsid w:val="0000038D"/>
    <w:rsid w:val="000179F3"/>
    <w:rsid w:val="0002041B"/>
    <w:rsid w:val="00021C9C"/>
    <w:rsid w:val="00030B59"/>
    <w:rsid w:val="00030D3F"/>
    <w:rsid w:val="00031BCB"/>
    <w:rsid w:val="00036FE7"/>
    <w:rsid w:val="0005106E"/>
    <w:rsid w:val="00086A66"/>
    <w:rsid w:val="000A37B0"/>
    <w:rsid w:val="000C484F"/>
    <w:rsid w:val="000E1F99"/>
    <w:rsid w:val="0011310B"/>
    <w:rsid w:val="00117AAB"/>
    <w:rsid w:val="0014643D"/>
    <w:rsid w:val="00147F8E"/>
    <w:rsid w:val="00152EA0"/>
    <w:rsid w:val="00153207"/>
    <w:rsid w:val="001819D8"/>
    <w:rsid w:val="001A416E"/>
    <w:rsid w:val="001D488D"/>
    <w:rsid w:val="001E6D8A"/>
    <w:rsid w:val="002317CB"/>
    <w:rsid w:val="002411DA"/>
    <w:rsid w:val="00246869"/>
    <w:rsid w:val="00250A02"/>
    <w:rsid w:val="00257258"/>
    <w:rsid w:val="0026642D"/>
    <w:rsid w:val="00274554"/>
    <w:rsid w:val="00282CB9"/>
    <w:rsid w:val="00295CBF"/>
    <w:rsid w:val="002A3745"/>
    <w:rsid w:val="002B7A4D"/>
    <w:rsid w:val="002D0734"/>
    <w:rsid w:val="00300E8D"/>
    <w:rsid w:val="003053E8"/>
    <w:rsid w:val="00313DE7"/>
    <w:rsid w:val="003158B0"/>
    <w:rsid w:val="003229D2"/>
    <w:rsid w:val="00337B47"/>
    <w:rsid w:val="003417DE"/>
    <w:rsid w:val="00342796"/>
    <w:rsid w:val="00360423"/>
    <w:rsid w:val="00386AD8"/>
    <w:rsid w:val="00391CAF"/>
    <w:rsid w:val="00394A07"/>
    <w:rsid w:val="0039785D"/>
    <w:rsid w:val="003B42A2"/>
    <w:rsid w:val="003B5E1D"/>
    <w:rsid w:val="003C08BD"/>
    <w:rsid w:val="003D724F"/>
    <w:rsid w:val="00401764"/>
    <w:rsid w:val="00411478"/>
    <w:rsid w:val="0041507A"/>
    <w:rsid w:val="00424A90"/>
    <w:rsid w:val="00434C56"/>
    <w:rsid w:val="00435FBA"/>
    <w:rsid w:val="0043694C"/>
    <w:rsid w:val="00436C20"/>
    <w:rsid w:val="00436E3B"/>
    <w:rsid w:val="0044218A"/>
    <w:rsid w:val="0044375B"/>
    <w:rsid w:val="0045343D"/>
    <w:rsid w:val="004804AA"/>
    <w:rsid w:val="004859BB"/>
    <w:rsid w:val="00493A4B"/>
    <w:rsid w:val="00497024"/>
    <w:rsid w:val="004A3F9A"/>
    <w:rsid w:val="004C467E"/>
    <w:rsid w:val="004C6E51"/>
    <w:rsid w:val="004E2748"/>
    <w:rsid w:val="004E5B2B"/>
    <w:rsid w:val="00512AF3"/>
    <w:rsid w:val="00517618"/>
    <w:rsid w:val="00520904"/>
    <w:rsid w:val="00522380"/>
    <w:rsid w:val="005556C1"/>
    <w:rsid w:val="0056079A"/>
    <w:rsid w:val="00580CCF"/>
    <w:rsid w:val="00587C30"/>
    <w:rsid w:val="005C7D1B"/>
    <w:rsid w:val="005E1A8F"/>
    <w:rsid w:val="005F53CC"/>
    <w:rsid w:val="005F69B7"/>
    <w:rsid w:val="00623279"/>
    <w:rsid w:val="00631A81"/>
    <w:rsid w:val="00636360"/>
    <w:rsid w:val="006424FB"/>
    <w:rsid w:val="0064384C"/>
    <w:rsid w:val="006528FE"/>
    <w:rsid w:val="00655AE7"/>
    <w:rsid w:val="00662401"/>
    <w:rsid w:val="00667FD0"/>
    <w:rsid w:val="00676067"/>
    <w:rsid w:val="00676124"/>
    <w:rsid w:val="00677706"/>
    <w:rsid w:val="0068426A"/>
    <w:rsid w:val="006861A3"/>
    <w:rsid w:val="00691B35"/>
    <w:rsid w:val="00696A44"/>
    <w:rsid w:val="006A0A5B"/>
    <w:rsid w:val="006B2D36"/>
    <w:rsid w:val="006B62E7"/>
    <w:rsid w:val="006C70D9"/>
    <w:rsid w:val="006C731A"/>
    <w:rsid w:val="006E2554"/>
    <w:rsid w:val="006F5A2C"/>
    <w:rsid w:val="006F70E5"/>
    <w:rsid w:val="00713C59"/>
    <w:rsid w:val="00727D29"/>
    <w:rsid w:val="0074018F"/>
    <w:rsid w:val="007454EB"/>
    <w:rsid w:val="007526D5"/>
    <w:rsid w:val="00755D26"/>
    <w:rsid w:val="00760AF6"/>
    <w:rsid w:val="00772E3C"/>
    <w:rsid w:val="0079298D"/>
    <w:rsid w:val="00794DBE"/>
    <w:rsid w:val="007B5D9E"/>
    <w:rsid w:val="007B6B6F"/>
    <w:rsid w:val="007C7A38"/>
    <w:rsid w:val="007E0A72"/>
    <w:rsid w:val="007E2670"/>
    <w:rsid w:val="007E5881"/>
    <w:rsid w:val="007E6B95"/>
    <w:rsid w:val="007F2F22"/>
    <w:rsid w:val="007F424A"/>
    <w:rsid w:val="008216DC"/>
    <w:rsid w:val="00831DA1"/>
    <w:rsid w:val="00855859"/>
    <w:rsid w:val="00863210"/>
    <w:rsid w:val="008634D1"/>
    <w:rsid w:val="00865EC1"/>
    <w:rsid w:val="008779A9"/>
    <w:rsid w:val="00883202"/>
    <w:rsid w:val="008846C7"/>
    <w:rsid w:val="008854DB"/>
    <w:rsid w:val="008861D4"/>
    <w:rsid w:val="008B1E7A"/>
    <w:rsid w:val="008B343E"/>
    <w:rsid w:val="008B474C"/>
    <w:rsid w:val="008C34E1"/>
    <w:rsid w:val="008D742D"/>
    <w:rsid w:val="008E5629"/>
    <w:rsid w:val="008E5A11"/>
    <w:rsid w:val="008F0CB0"/>
    <w:rsid w:val="008F57DF"/>
    <w:rsid w:val="00955DEF"/>
    <w:rsid w:val="00956B72"/>
    <w:rsid w:val="009757AE"/>
    <w:rsid w:val="009764DE"/>
    <w:rsid w:val="00997ECE"/>
    <w:rsid w:val="009A7148"/>
    <w:rsid w:val="009A7BD5"/>
    <w:rsid w:val="009B1501"/>
    <w:rsid w:val="009B78A1"/>
    <w:rsid w:val="009C27A6"/>
    <w:rsid w:val="009E59C5"/>
    <w:rsid w:val="009F16C5"/>
    <w:rsid w:val="009F2439"/>
    <w:rsid w:val="00A031C1"/>
    <w:rsid w:val="00A129A1"/>
    <w:rsid w:val="00A14E24"/>
    <w:rsid w:val="00A24D2C"/>
    <w:rsid w:val="00A258C5"/>
    <w:rsid w:val="00A27B85"/>
    <w:rsid w:val="00A361E6"/>
    <w:rsid w:val="00A37757"/>
    <w:rsid w:val="00A46E21"/>
    <w:rsid w:val="00A51CD7"/>
    <w:rsid w:val="00A61B0F"/>
    <w:rsid w:val="00A86483"/>
    <w:rsid w:val="00AC26FF"/>
    <w:rsid w:val="00AE6818"/>
    <w:rsid w:val="00AE7EF8"/>
    <w:rsid w:val="00AF7181"/>
    <w:rsid w:val="00B10031"/>
    <w:rsid w:val="00B14D10"/>
    <w:rsid w:val="00B223FB"/>
    <w:rsid w:val="00B23360"/>
    <w:rsid w:val="00B259F8"/>
    <w:rsid w:val="00B2737D"/>
    <w:rsid w:val="00B3201B"/>
    <w:rsid w:val="00B323F6"/>
    <w:rsid w:val="00B600C5"/>
    <w:rsid w:val="00B64FFD"/>
    <w:rsid w:val="00B722AF"/>
    <w:rsid w:val="00B73606"/>
    <w:rsid w:val="00B74A79"/>
    <w:rsid w:val="00B91783"/>
    <w:rsid w:val="00BA7A03"/>
    <w:rsid w:val="00BB4825"/>
    <w:rsid w:val="00BB67F0"/>
    <w:rsid w:val="00BD449D"/>
    <w:rsid w:val="00BE6159"/>
    <w:rsid w:val="00BF6999"/>
    <w:rsid w:val="00C04C52"/>
    <w:rsid w:val="00C67C25"/>
    <w:rsid w:val="00C80D92"/>
    <w:rsid w:val="00C83081"/>
    <w:rsid w:val="00C8378C"/>
    <w:rsid w:val="00C845E4"/>
    <w:rsid w:val="00CC6618"/>
    <w:rsid w:val="00CC7DED"/>
    <w:rsid w:val="00CD5B65"/>
    <w:rsid w:val="00CE29F5"/>
    <w:rsid w:val="00CE48A9"/>
    <w:rsid w:val="00CF29D7"/>
    <w:rsid w:val="00CF341F"/>
    <w:rsid w:val="00D215C0"/>
    <w:rsid w:val="00D21694"/>
    <w:rsid w:val="00D3132D"/>
    <w:rsid w:val="00D403E7"/>
    <w:rsid w:val="00D46808"/>
    <w:rsid w:val="00D515F7"/>
    <w:rsid w:val="00D51691"/>
    <w:rsid w:val="00D66193"/>
    <w:rsid w:val="00D75C8C"/>
    <w:rsid w:val="00D840EF"/>
    <w:rsid w:val="00D84885"/>
    <w:rsid w:val="00D93BEE"/>
    <w:rsid w:val="00DA2C85"/>
    <w:rsid w:val="00DA35C8"/>
    <w:rsid w:val="00DA4F55"/>
    <w:rsid w:val="00DC3CF8"/>
    <w:rsid w:val="00DE728A"/>
    <w:rsid w:val="00DF2390"/>
    <w:rsid w:val="00E007B7"/>
    <w:rsid w:val="00E102A7"/>
    <w:rsid w:val="00E16F3D"/>
    <w:rsid w:val="00E301C8"/>
    <w:rsid w:val="00E6036D"/>
    <w:rsid w:val="00E83EBB"/>
    <w:rsid w:val="00E93CBA"/>
    <w:rsid w:val="00EA3E21"/>
    <w:rsid w:val="00EB6C66"/>
    <w:rsid w:val="00EC2D09"/>
    <w:rsid w:val="00EC4B14"/>
    <w:rsid w:val="00ED03AA"/>
    <w:rsid w:val="00ED4F69"/>
    <w:rsid w:val="00EF53FE"/>
    <w:rsid w:val="00EF6102"/>
    <w:rsid w:val="00F02939"/>
    <w:rsid w:val="00F23363"/>
    <w:rsid w:val="00F35243"/>
    <w:rsid w:val="00F40E16"/>
    <w:rsid w:val="00F55895"/>
    <w:rsid w:val="00F63924"/>
    <w:rsid w:val="00F66E3F"/>
    <w:rsid w:val="00F76301"/>
    <w:rsid w:val="00F9527E"/>
    <w:rsid w:val="00FA0AA6"/>
    <w:rsid w:val="00FA1E58"/>
    <w:rsid w:val="00FA6B6F"/>
    <w:rsid w:val="00FC2FA1"/>
    <w:rsid w:val="00FE302D"/>
    <w:rsid w:val="00FF59AF"/>
    <w:rsid w:val="022766CA"/>
    <w:rsid w:val="13CB35A1"/>
    <w:rsid w:val="1995653F"/>
    <w:rsid w:val="255C3438"/>
    <w:rsid w:val="2C916FEC"/>
    <w:rsid w:val="48E47DC0"/>
    <w:rsid w:val="4BF359D0"/>
    <w:rsid w:val="516664B4"/>
    <w:rsid w:val="53210B74"/>
    <w:rsid w:val="54642092"/>
    <w:rsid w:val="58940A6C"/>
    <w:rsid w:val="62BE2280"/>
    <w:rsid w:val="6993194E"/>
    <w:rsid w:val="6DE05EBD"/>
    <w:rsid w:val="6E5716D4"/>
    <w:rsid w:val="72223125"/>
    <w:rsid w:val="78C713D1"/>
    <w:rsid w:val="7C6508AE"/>
    <w:rsid w:val="7E7F3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iPriority w:val="99"/>
    <w:pPr>
      <w:shd w:val="clear" w:color="auto" w:fill="000080"/>
    </w:pPr>
  </w:style>
  <w:style w:type="paragraph" w:styleId="3">
    <w:name w:val="Balloon Text"/>
    <w:basedOn w:val="1"/>
    <w:link w:val="12"/>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FollowedHyperlink"/>
    <w:basedOn w:val="9"/>
    <w:uiPriority w:val="99"/>
    <w:rPr>
      <w:rFonts w:cs="Times New Roman"/>
      <w:color w:val="223399"/>
      <w:u w:val="none"/>
    </w:rPr>
  </w:style>
  <w:style w:type="character" w:styleId="11">
    <w:name w:val="Hyperlink"/>
    <w:basedOn w:val="9"/>
    <w:uiPriority w:val="99"/>
    <w:rPr>
      <w:rFonts w:cs="Times New Roman"/>
      <w:color w:val="0563C1"/>
      <w:u w:val="single"/>
    </w:rPr>
  </w:style>
  <w:style w:type="character" w:customStyle="1" w:styleId="12">
    <w:name w:val="Balloon Text Char"/>
    <w:basedOn w:val="9"/>
    <w:link w:val="3"/>
    <w:semiHidden/>
    <w:locked/>
    <w:uiPriority w:val="99"/>
    <w:rPr>
      <w:rFonts w:cs="Times New Roman"/>
      <w:sz w:val="18"/>
      <w:szCs w:val="18"/>
    </w:rPr>
  </w:style>
  <w:style w:type="character" w:customStyle="1" w:styleId="13">
    <w:name w:val="Footer Char"/>
    <w:basedOn w:val="9"/>
    <w:link w:val="4"/>
    <w:locked/>
    <w:uiPriority w:val="99"/>
    <w:rPr>
      <w:rFonts w:cs="Times New Roman"/>
      <w:sz w:val="18"/>
      <w:szCs w:val="18"/>
    </w:rPr>
  </w:style>
  <w:style w:type="character" w:customStyle="1" w:styleId="14">
    <w:name w:val="Header Char"/>
    <w:basedOn w:val="9"/>
    <w:link w:val="5"/>
    <w:locked/>
    <w:uiPriority w:val="99"/>
    <w:rPr>
      <w:rFonts w:cs="Times New Roman"/>
      <w:sz w:val="18"/>
      <w:szCs w:val="18"/>
    </w:rPr>
  </w:style>
  <w:style w:type="character" w:customStyle="1" w:styleId="15">
    <w:name w:val="明显强调1"/>
    <w:uiPriority w:val="99"/>
    <w:rPr>
      <w:i/>
      <w:color w:val="5B9BD5"/>
    </w:rPr>
  </w:style>
  <w:style w:type="paragraph" w:customStyle="1" w:styleId="16">
    <w:name w:val="列出段落1"/>
    <w:basedOn w:val="1"/>
    <w:uiPriority w:val="99"/>
    <w:pPr>
      <w:ind w:firstLine="420" w:firstLineChars="200"/>
    </w:pPr>
  </w:style>
  <w:style w:type="character" w:customStyle="1" w:styleId="17">
    <w:name w:val="Document Map Char"/>
    <w:basedOn w:val="9"/>
    <w:link w:val="2"/>
    <w:semiHidden/>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5</Pages>
  <Words>463</Words>
  <Characters>2645</Characters>
  <Lines>0</Lines>
  <Paragraphs>0</Paragraphs>
  <TotalTime>419</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2018-03-12T01:02:00Z</dcterms:created>
  <dc:creator>tanlei</dc:creator>
  <cp:lastModifiedBy>WPS_1473804393</cp:lastModifiedBy>
  <cp:lastPrinted>2019-03-08T00:21:00Z</cp:lastPrinted>
  <dcterms:modified xsi:type="dcterms:W3CDTF">2019-03-08T13:28:19Z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